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57316" w14:textId="77777777" w:rsidR="00B15C6B" w:rsidRDefault="009A1CBD" w:rsidP="009A1CBD">
      <w:pPr>
        <w:pStyle w:val="Heading1"/>
      </w:pPr>
      <w:bookmarkStart w:id="0" w:name="_General_style_notes"/>
      <w:bookmarkStart w:id="1" w:name="_Toc449886327"/>
      <w:bookmarkStart w:id="2" w:name="_GoBack"/>
      <w:bookmarkEnd w:id="0"/>
      <w:bookmarkEnd w:id="2"/>
      <w:r w:rsidRPr="009A1CBD">
        <w:rPr>
          <w:noProof/>
          <w:lang w:eastAsia="en-AU"/>
        </w:rPr>
        <w:drawing>
          <wp:anchor distT="0" distB="0" distL="114300" distR="114300" simplePos="0" relativeHeight="251661312" behindDoc="1" locked="1" layoutInCell="1" allowOverlap="1" wp14:anchorId="66D2425E" wp14:editId="2B48F860">
            <wp:simplePos x="0" y="0"/>
            <wp:positionH relativeFrom="leftMargin">
              <wp:posOffset>-180340</wp:posOffset>
            </wp:positionH>
            <wp:positionV relativeFrom="paragraph">
              <wp:posOffset>-575945</wp:posOffset>
            </wp:positionV>
            <wp:extent cx="2746800" cy="2001600"/>
            <wp:effectExtent l="0" t="8572" r="7302" b="7303"/>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4" b="-2"/>
                    <a:stretch/>
                  </pic:blipFill>
                  <pic:spPr bwMode="auto">
                    <a:xfrm rot="5400000">
                      <a:off x="0" y="0"/>
                      <a:ext cx="2746800" cy="2001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15C6B">
        <w:t>Legislative Framework and Approval Requirements</w:t>
      </w:r>
      <w:bookmarkEnd w:id="1"/>
    </w:p>
    <w:p w14:paraId="062CECAF" w14:textId="77777777" w:rsidR="00B15C6B" w:rsidRDefault="00B15C6B" w:rsidP="00B15C6B">
      <w:pPr>
        <w:pStyle w:val="Heading2"/>
      </w:pPr>
      <w:bookmarkStart w:id="3" w:name="_Toc449886328"/>
      <w:r>
        <w:t>Introduction</w:t>
      </w:r>
      <w:bookmarkEnd w:id="3"/>
    </w:p>
    <w:p w14:paraId="0480B950" w14:textId="77777777" w:rsidR="00B15C6B" w:rsidRDefault="00B15C6B" w:rsidP="00B15C6B">
      <w:pPr>
        <w:pStyle w:val="BodyText"/>
      </w:pPr>
      <w:r>
        <w:t xml:space="preserve">This chapter outlines the </w:t>
      </w:r>
      <w:r w:rsidR="00EB3434">
        <w:t xml:space="preserve">environmental assessment process and the </w:t>
      </w:r>
      <w:r>
        <w:t xml:space="preserve">principal </w:t>
      </w:r>
      <w:r w:rsidR="007D0F38">
        <w:t xml:space="preserve">planning, environmental and heritage </w:t>
      </w:r>
      <w:r>
        <w:t>approval</w:t>
      </w:r>
      <w:r w:rsidR="007D0F38">
        <w:t>s</w:t>
      </w:r>
      <w:r>
        <w:t xml:space="preserve"> required for </w:t>
      </w:r>
      <w:r w:rsidR="00343894">
        <w:t>Melbourne Metro</w:t>
      </w:r>
      <w:r>
        <w:t>.</w:t>
      </w:r>
    </w:p>
    <w:p w14:paraId="5951ED54" w14:textId="77777777" w:rsidR="00550D76" w:rsidRDefault="00B15C6B" w:rsidP="00B15C6B">
      <w:pPr>
        <w:pStyle w:val="BodyText"/>
      </w:pPr>
      <w:r>
        <w:t xml:space="preserve">The key Victorian legislation governing the environmental </w:t>
      </w:r>
      <w:r w:rsidR="00EB3434">
        <w:t xml:space="preserve">assessment of </w:t>
      </w:r>
      <w:r w:rsidR="00343894" w:rsidRPr="00343894">
        <w:t>Melbourne Metro</w:t>
      </w:r>
      <w:r w:rsidR="00343894" w:rsidRPr="00343894" w:rsidDel="00343894">
        <w:t xml:space="preserve"> </w:t>
      </w:r>
      <w:r>
        <w:t xml:space="preserve">is the </w:t>
      </w:r>
      <w:r w:rsidRPr="00CC2BA8">
        <w:rPr>
          <w:rStyle w:val="CharacterStyle-Italic"/>
        </w:rPr>
        <w:t>Environment Effects Act 1978</w:t>
      </w:r>
      <w:r>
        <w:t xml:space="preserve">. </w:t>
      </w:r>
      <w:r w:rsidR="00EB3434">
        <w:t>The Minister for Planning has determined that</w:t>
      </w:r>
      <w:r>
        <w:t xml:space="preserve"> an EES is required for </w:t>
      </w:r>
      <w:r w:rsidR="00343894" w:rsidRPr="00343894">
        <w:t>Melbourne Metro</w:t>
      </w:r>
      <w:r>
        <w:t xml:space="preserve">. </w:t>
      </w:r>
      <w:r w:rsidR="00EB3434">
        <w:t>This EES has been prepared in response to the Minister's decision</w:t>
      </w:r>
      <w:r w:rsidR="002448D4">
        <w:t xml:space="preserve"> </w:t>
      </w:r>
      <w:r w:rsidR="00D110D2">
        <w:t xml:space="preserve">requiring an EES </w:t>
      </w:r>
      <w:r w:rsidR="002448D4">
        <w:t xml:space="preserve">and the Scoping Requirements issued by </w:t>
      </w:r>
      <w:r w:rsidR="006A6D3D">
        <w:t xml:space="preserve">the Minister to set out </w:t>
      </w:r>
      <w:r w:rsidR="002448D4" w:rsidRPr="0064559D">
        <w:t>specific matters to be investigated and documented in the EES</w:t>
      </w:r>
      <w:r w:rsidR="00EB3434">
        <w:t>.</w:t>
      </w:r>
      <w:r w:rsidR="006A6D3D" w:rsidDel="006A6D3D">
        <w:t xml:space="preserve"> </w:t>
      </w:r>
    </w:p>
    <w:p w14:paraId="370AA35B" w14:textId="77777777" w:rsidR="00FD0A17" w:rsidRDefault="00B15C6B" w:rsidP="00B15C6B">
      <w:pPr>
        <w:pStyle w:val="BodyText"/>
      </w:pPr>
      <w:r>
        <w:t>The EES</w:t>
      </w:r>
      <w:r w:rsidR="00EB3434">
        <w:t xml:space="preserve"> will be scrutinised by an independent Inquiry before </w:t>
      </w:r>
      <w:r>
        <w:t>the Minister for Planning</w:t>
      </w:r>
      <w:r w:rsidR="00EB3434">
        <w:t xml:space="preserve"> completes his</w:t>
      </w:r>
      <w:r>
        <w:t xml:space="preserve"> assessment of </w:t>
      </w:r>
      <w:r w:rsidR="00343894" w:rsidRPr="00343894">
        <w:t>Melbourne Metro</w:t>
      </w:r>
      <w:r>
        <w:t xml:space="preserve">. </w:t>
      </w:r>
      <w:r w:rsidR="00FD0A17">
        <w:t>While neither t</w:t>
      </w:r>
      <w:r>
        <w:t>h</w:t>
      </w:r>
      <w:r w:rsidR="00FD0A17">
        <w:t>is</w:t>
      </w:r>
      <w:r>
        <w:t xml:space="preserve"> EES </w:t>
      </w:r>
      <w:r w:rsidR="00FD0A17">
        <w:t xml:space="preserve">nor the Minister for Planning's assessment are binding on decision-makers, they will </w:t>
      </w:r>
      <w:r w:rsidR="00550D76">
        <w:t>provide t</w:t>
      </w:r>
      <w:r w:rsidR="00FD0A17">
        <w:t xml:space="preserve">hose decision-makers </w:t>
      </w:r>
      <w:r w:rsidR="00550D76">
        <w:t xml:space="preserve">with information to assist them in determining </w:t>
      </w:r>
      <w:r w:rsidR="00FD0A17">
        <w:t xml:space="preserve">whether they should issue </w:t>
      </w:r>
      <w:r>
        <w:t xml:space="preserve">the principal approvals for </w:t>
      </w:r>
      <w:r w:rsidR="00343894" w:rsidRPr="00343894">
        <w:t>Melbourne Metro</w:t>
      </w:r>
      <w:r>
        <w:t xml:space="preserve">, </w:t>
      </w:r>
      <w:r w:rsidR="00FD0A17">
        <w:t>and on what conditions.</w:t>
      </w:r>
    </w:p>
    <w:p w14:paraId="2E29ACDB" w14:textId="77777777" w:rsidR="00B15C6B" w:rsidRDefault="00C81826" w:rsidP="00B15C6B">
      <w:pPr>
        <w:pStyle w:val="BodyText"/>
      </w:pPr>
      <w:r>
        <w:t xml:space="preserve">The key approvals for </w:t>
      </w:r>
      <w:r w:rsidR="00550D76">
        <w:t xml:space="preserve">Melbourne Metro </w:t>
      </w:r>
      <w:r>
        <w:t>are</w:t>
      </w:r>
      <w:r w:rsidR="00B15C6B">
        <w:t xml:space="preserve">: </w:t>
      </w:r>
    </w:p>
    <w:p w14:paraId="0FD91C63" w14:textId="77777777" w:rsidR="00B15C6B" w:rsidRDefault="00B15C6B" w:rsidP="00B15C6B">
      <w:pPr>
        <w:pStyle w:val="BodyBullet1"/>
      </w:pPr>
      <w:r>
        <w:t xml:space="preserve">Planning </w:t>
      </w:r>
      <w:r w:rsidR="00484394">
        <w:t>s</w:t>
      </w:r>
      <w:r>
        <w:t xml:space="preserve">cheme </w:t>
      </w:r>
      <w:r w:rsidR="00484394">
        <w:t>a</w:t>
      </w:r>
      <w:r>
        <w:t xml:space="preserve">mendment under the </w:t>
      </w:r>
      <w:r w:rsidRPr="00B15C6B">
        <w:rPr>
          <w:rStyle w:val="CharacterStyle-Italic"/>
        </w:rPr>
        <w:t>Planning and Environment Act 1987</w:t>
      </w:r>
    </w:p>
    <w:p w14:paraId="1722B8BE" w14:textId="77777777" w:rsidR="00B15C6B" w:rsidRDefault="00B15C6B" w:rsidP="00B15C6B">
      <w:pPr>
        <w:pStyle w:val="BodyBullet1"/>
      </w:pPr>
      <w:r>
        <w:t xml:space="preserve">Permits and consents under the </w:t>
      </w:r>
      <w:r w:rsidRPr="00B15C6B">
        <w:rPr>
          <w:rStyle w:val="CharacterStyle-Italic"/>
        </w:rPr>
        <w:t>Heritage Act 1995</w:t>
      </w:r>
      <w:r>
        <w:t>.</w:t>
      </w:r>
    </w:p>
    <w:p w14:paraId="2A15FC09" w14:textId="77777777" w:rsidR="00B15C6B" w:rsidRDefault="00B15C6B" w:rsidP="009A1CBD">
      <w:pPr>
        <w:pStyle w:val="BodyText"/>
      </w:pPr>
      <w:r>
        <w:t xml:space="preserve">A Cultural Heritage Management Plan (CHMP) under the </w:t>
      </w:r>
      <w:r w:rsidRPr="00B15C6B">
        <w:rPr>
          <w:rStyle w:val="CharacterStyle-Italic"/>
        </w:rPr>
        <w:t>Aboriginal Heritage Act 2006</w:t>
      </w:r>
      <w:r>
        <w:t xml:space="preserve"> is also being prepared in parallel to the EES. </w:t>
      </w:r>
    </w:p>
    <w:p w14:paraId="2872A2CA" w14:textId="44003576" w:rsidR="00B15C6B" w:rsidRDefault="00211EAF" w:rsidP="00B15C6B">
      <w:pPr>
        <w:pStyle w:val="BodyText"/>
      </w:pPr>
      <w:r>
        <w:t xml:space="preserve">A range of secondary consents would also be required for the </w:t>
      </w:r>
      <w:r w:rsidR="00550D76">
        <w:t>p</w:t>
      </w:r>
      <w:r>
        <w:t xml:space="preserve">roject to proceed. These are outlined in Chapter </w:t>
      </w:r>
      <w:r>
        <w:fldChar w:fldCharType="begin"/>
      </w:r>
      <w:r>
        <w:instrText xml:space="preserve"> REF _Ref444200510 \r \h  \* MERGEFORMAT </w:instrText>
      </w:r>
      <w:r>
        <w:fldChar w:fldCharType="separate"/>
      </w:r>
      <w:r w:rsidR="00F039D6">
        <w:rPr>
          <w:cs/>
        </w:rPr>
        <w:t>‎</w:t>
      </w:r>
      <w:r w:rsidR="00F039D6">
        <w:t>3.3</w:t>
      </w:r>
      <w:r>
        <w:fldChar w:fldCharType="end"/>
      </w:r>
      <w:r>
        <w:t>.</w:t>
      </w:r>
      <w:r w:rsidR="00550D76">
        <w:t xml:space="preserve"> Melbourne Metro </w:t>
      </w:r>
      <w:r w:rsidR="00B15C6B">
        <w:t xml:space="preserve">has been declared under the </w:t>
      </w:r>
      <w:r w:rsidR="00B15C6B" w:rsidRPr="00B15C6B">
        <w:rPr>
          <w:rStyle w:val="CharacterStyle-Italic"/>
        </w:rPr>
        <w:t>Major Transport Projects Facilitation Act 2009</w:t>
      </w:r>
      <w:r w:rsidR="00B15C6B">
        <w:t xml:space="preserve"> for delivery purposes only. </w:t>
      </w:r>
      <w:r w:rsidR="00FC2820">
        <w:t xml:space="preserve">A Project Area under this Act </w:t>
      </w:r>
      <w:r w:rsidR="00AB1D75">
        <w:t>would</w:t>
      </w:r>
      <w:r w:rsidR="0024320D">
        <w:t xml:space="preserve"> </w:t>
      </w:r>
      <w:r w:rsidR="00FC2820">
        <w:t>be designated following the gazettal of the planning scheme amendment.</w:t>
      </w:r>
      <w:r w:rsidR="00B15C6B">
        <w:t xml:space="preserve"> </w:t>
      </w:r>
    </w:p>
    <w:p w14:paraId="50DBD7BA" w14:textId="528E1867" w:rsidR="00EB3434" w:rsidRDefault="00EB3434" w:rsidP="00EB3434">
      <w:pPr>
        <w:pStyle w:val="BodyText"/>
      </w:pPr>
      <w:r>
        <w:t>As discussed in Section 1.</w:t>
      </w:r>
      <w:r w:rsidR="00AB1D75">
        <w:t>7</w:t>
      </w:r>
      <w:r>
        <w:t xml:space="preserve">.2, the </w:t>
      </w:r>
      <w:r w:rsidR="00550D76">
        <w:t xml:space="preserve">proposed Melbourne Metro </w:t>
      </w:r>
      <w:r>
        <w:t>is not a ‘controlled action</w:t>
      </w:r>
      <w:r w:rsidR="00AB1D75">
        <w:t>’ as it would be ‘undertaken in a particular manner</w:t>
      </w:r>
      <w:r>
        <w:t xml:space="preserve">’ under the Commonwealth </w:t>
      </w:r>
      <w:r w:rsidRPr="00B15C6B">
        <w:rPr>
          <w:rStyle w:val="CharacterStyle-Italic"/>
        </w:rPr>
        <w:t>Environment Protection and Biodiversity Conservation</w:t>
      </w:r>
      <w:r w:rsidR="004B047B">
        <w:rPr>
          <w:rStyle w:val="CharacterStyle-Italic"/>
        </w:rPr>
        <w:t xml:space="preserve"> </w:t>
      </w:r>
      <w:r w:rsidR="004B047B" w:rsidRPr="004B047B">
        <w:rPr>
          <w:i/>
        </w:rPr>
        <w:t>(EPBC)</w:t>
      </w:r>
      <w:r w:rsidRPr="004B047B">
        <w:rPr>
          <w:rStyle w:val="CharacterStyle-Italic"/>
          <w:i w:val="0"/>
        </w:rPr>
        <w:t xml:space="preserve"> </w:t>
      </w:r>
      <w:r w:rsidRPr="00B15C6B">
        <w:rPr>
          <w:rStyle w:val="CharacterStyle-Italic"/>
        </w:rPr>
        <w:t>Act 1999</w:t>
      </w:r>
      <w:r>
        <w:t xml:space="preserve"> and therefore no further assessment </w:t>
      </w:r>
      <w:r w:rsidR="00211EAF">
        <w:t xml:space="preserve">or approval </w:t>
      </w:r>
      <w:r>
        <w:t xml:space="preserve">of </w:t>
      </w:r>
      <w:r w:rsidR="00343894" w:rsidRPr="00343894">
        <w:t>Melbourne Metro</w:t>
      </w:r>
      <w:r w:rsidR="00343894" w:rsidRPr="00343894" w:rsidDel="00343894">
        <w:t xml:space="preserve"> </w:t>
      </w:r>
      <w:r>
        <w:t>is required under this legislation.</w:t>
      </w:r>
      <w:r w:rsidR="006A6D3D" w:rsidRPr="006A6D3D">
        <w:t xml:space="preserve"> </w:t>
      </w:r>
      <w:r w:rsidR="006A6D3D" w:rsidRPr="00384EB6">
        <w:t xml:space="preserve">The </w:t>
      </w:r>
      <w:r w:rsidR="004B047B">
        <w:rPr>
          <w:rStyle w:val="CharacterStyle-Italic"/>
          <w:i w:val="0"/>
        </w:rPr>
        <w:t xml:space="preserve">EPBC </w:t>
      </w:r>
      <w:r w:rsidR="00F82DE5" w:rsidRPr="00F82DE5">
        <w:rPr>
          <w:rStyle w:val="CharacterStyle-Italic"/>
          <w:i w:val="0"/>
        </w:rPr>
        <w:t>Act</w:t>
      </w:r>
      <w:r w:rsidR="00F82DE5" w:rsidRPr="00B15C6B">
        <w:rPr>
          <w:rStyle w:val="CharacterStyle-Italic"/>
        </w:rPr>
        <w:t xml:space="preserve"> </w:t>
      </w:r>
      <w:r w:rsidR="006A6D3D" w:rsidRPr="00384EB6">
        <w:t xml:space="preserve">requirements are discussed further in Chapter 13 </w:t>
      </w:r>
      <w:r w:rsidR="006A6D3D" w:rsidRPr="00384EB6">
        <w:rPr>
          <w:rStyle w:val="CharacterStyle-Italic"/>
        </w:rPr>
        <w:t>Noise and Vibration</w:t>
      </w:r>
      <w:r w:rsidR="006A6D3D" w:rsidRPr="00384EB6">
        <w:t xml:space="preserve">, Chapter 14 </w:t>
      </w:r>
      <w:r w:rsidR="006A6D3D" w:rsidRPr="00384EB6">
        <w:rPr>
          <w:rStyle w:val="CharacterStyle-Italic"/>
        </w:rPr>
        <w:t>Historical Cultural Heritage</w:t>
      </w:r>
      <w:r w:rsidR="006A6D3D" w:rsidRPr="00384EB6">
        <w:t xml:space="preserve"> and Chapter 21 </w:t>
      </w:r>
      <w:r w:rsidR="006A6D3D" w:rsidRPr="00384EB6">
        <w:rPr>
          <w:rStyle w:val="CharacterStyle-Italic"/>
        </w:rPr>
        <w:t>Biodiversity</w:t>
      </w:r>
      <w:r w:rsidR="006A6D3D" w:rsidRPr="00384EB6">
        <w:t>.</w:t>
      </w:r>
    </w:p>
    <w:p w14:paraId="1CEFEB31" w14:textId="77777777" w:rsidR="00550D76" w:rsidRDefault="00CA1901" w:rsidP="00CA1901">
      <w:pPr>
        <w:pStyle w:val="BodyText"/>
      </w:pPr>
      <w:r>
        <w:t xml:space="preserve">The relationship between the various approvals potentially required for </w:t>
      </w:r>
      <w:r w:rsidR="00E3260A">
        <w:t xml:space="preserve">Melbourne Metro </w:t>
      </w:r>
      <w:r>
        <w:t>is shown in</w:t>
      </w:r>
      <w:r w:rsidR="0097373A">
        <w:t xml:space="preserve"> </w:t>
      </w:r>
      <w:r w:rsidR="0097373A">
        <w:fldChar w:fldCharType="begin"/>
      </w:r>
      <w:r w:rsidR="0097373A">
        <w:instrText xml:space="preserve"> REF _Ref446503987 \h </w:instrText>
      </w:r>
      <w:r w:rsidR="0097373A">
        <w:fldChar w:fldCharType="separate"/>
      </w:r>
      <w:r w:rsidR="00F039D6">
        <w:t>Figure </w:t>
      </w:r>
      <w:r w:rsidR="00F039D6">
        <w:rPr>
          <w:noProof/>
          <w:cs/>
        </w:rPr>
        <w:t>‎</w:t>
      </w:r>
      <w:r w:rsidR="00F039D6">
        <w:rPr>
          <w:noProof/>
        </w:rPr>
        <w:t>3</w:t>
      </w:r>
      <w:r w:rsidR="00F039D6">
        <w:noBreakHyphen/>
      </w:r>
      <w:r w:rsidR="00F039D6">
        <w:rPr>
          <w:noProof/>
        </w:rPr>
        <w:t>1</w:t>
      </w:r>
      <w:r w:rsidR="0097373A">
        <w:fldChar w:fldCharType="end"/>
      </w:r>
      <w:r>
        <w:t xml:space="preserve">. </w:t>
      </w:r>
    </w:p>
    <w:p w14:paraId="3B1E6A80" w14:textId="77777777" w:rsidR="00CA1901" w:rsidRDefault="00CA1901" w:rsidP="00CA1901">
      <w:pPr>
        <w:pStyle w:val="Caption"/>
      </w:pPr>
      <w:bookmarkStart w:id="4" w:name="_Ref446503987"/>
      <w:r>
        <w:lastRenderedPageBreak/>
        <w:t>Figure </w:t>
      </w:r>
      <w:r w:rsidRPr="00CA1901">
        <w:fldChar w:fldCharType="begin"/>
      </w:r>
      <w:r>
        <w:instrText xml:space="preserve"> STYLEREF 1 \s </w:instrText>
      </w:r>
      <w:r w:rsidRPr="00CA1901">
        <w:fldChar w:fldCharType="separate"/>
      </w:r>
      <w:r w:rsidR="00F039D6">
        <w:rPr>
          <w:noProof/>
          <w:cs/>
        </w:rPr>
        <w:t>‎</w:t>
      </w:r>
      <w:r w:rsidR="00F039D6">
        <w:rPr>
          <w:noProof/>
        </w:rPr>
        <w:t>3</w:t>
      </w:r>
      <w:r w:rsidRPr="00CA1901">
        <w:fldChar w:fldCharType="end"/>
      </w:r>
      <w:r>
        <w:noBreakHyphen/>
      </w:r>
      <w:r w:rsidRPr="00CA1901">
        <w:fldChar w:fldCharType="begin"/>
      </w:r>
      <w:r>
        <w:instrText xml:space="preserve"> SEQ Figure \* ARABIC \s 1 </w:instrText>
      </w:r>
      <w:r w:rsidRPr="00CA1901">
        <w:fldChar w:fldCharType="separate"/>
      </w:r>
      <w:r w:rsidR="00F039D6">
        <w:rPr>
          <w:noProof/>
        </w:rPr>
        <w:t>1</w:t>
      </w:r>
      <w:r w:rsidRPr="00CA1901">
        <w:fldChar w:fldCharType="end"/>
      </w:r>
      <w:bookmarkEnd w:id="4"/>
      <w:r>
        <w:tab/>
        <w:t xml:space="preserve">Key project legislation and approvals </w:t>
      </w:r>
    </w:p>
    <w:p w14:paraId="18E89714" w14:textId="6BC2AA18" w:rsidR="00EB3434" w:rsidRDefault="00DA41F0" w:rsidP="00D922C4">
      <w:pPr>
        <w:pStyle w:val="Object"/>
      </w:pPr>
      <w:r>
        <w:rPr>
          <w:noProof/>
          <w:lang w:eastAsia="en-AU"/>
        </w:rPr>
        <w:drawing>
          <wp:inline distT="0" distB="0" distL="0" distR="0" wp14:anchorId="26043E4D" wp14:editId="7D426E9D">
            <wp:extent cx="4571365" cy="216090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1.png"/>
                    <pic:cNvPicPr/>
                  </pic:nvPicPr>
                  <pic:blipFill>
                    <a:blip r:embed="rId11">
                      <a:extLst>
                        <a:ext uri="{28A0092B-C50C-407E-A947-70E740481C1C}">
                          <a14:useLocalDpi xmlns:a14="http://schemas.microsoft.com/office/drawing/2010/main" val="0"/>
                        </a:ext>
                      </a:extLst>
                    </a:blip>
                    <a:stretch>
                      <a:fillRect/>
                    </a:stretch>
                  </pic:blipFill>
                  <pic:spPr>
                    <a:xfrm>
                      <a:off x="0" y="0"/>
                      <a:ext cx="4571365" cy="2160905"/>
                    </a:xfrm>
                    <a:prstGeom prst="rect">
                      <a:avLst/>
                    </a:prstGeom>
                  </pic:spPr>
                </pic:pic>
              </a:graphicData>
            </a:graphic>
          </wp:inline>
        </w:drawing>
      </w:r>
    </w:p>
    <w:p w14:paraId="2DF8A74B" w14:textId="77777777" w:rsidR="00B15C6B" w:rsidRPr="00C66044" w:rsidRDefault="00B15C6B" w:rsidP="00C66044">
      <w:pPr>
        <w:pStyle w:val="Heading2"/>
        <w:spacing w:before="480"/>
      </w:pPr>
      <w:bookmarkStart w:id="5" w:name="_Toc445654326"/>
      <w:bookmarkStart w:id="6" w:name="_Toc445654327"/>
      <w:bookmarkStart w:id="7" w:name="_Toc449886329"/>
      <w:bookmarkEnd w:id="5"/>
      <w:bookmarkEnd w:id="6"/>
      <w:r w:rsidRPr="00C66044">
        <w:t>Environment Effects Act 1978</w:t>
      </w:r>
      <w:bookmarkEnd w:id="7"/>
    </w:p>
    <w:p w14:paraId="3736B799" w14:textId="77777777" w:rsidR="00C6048B" w:rsidRDefault="00B15C6B" w:rsidP="00C6048B">
      <w:pPr>
        <w:pStyle w:val="BodyText"/>
      </w:pPr>
      <w:r>
        <w:t xml:space="preserve">The </w:t>
      </w:r>
      <w:r w:rsidRPr="00384EB6">
        <w:rPr>
          <w:rStyle w:val="CharacterStyle-Italic"/>
        </w:rPr>
        <w:t xml:space="preserve">Environment Effects Act 1978 </w:t>
      </w:r>
      <w:r w:rsidR="00211EAF" w:rsidRPr="00CA1901">
        <w:rPr>
          <w:rStyle w:val="CharacterStyle-Italic"/>
          <w:i w:val="0"/>
        </w:rPr>
        <w:t>establishes an administrative proces</w:t>
      </w:r>
      <w:r w:rsidR="00C6048B">
        <w:rPr>
          <w:rStyle w:val="CharacterStyle-Italic"/>
        </w:rPr>
        <w:t>s</w:t>
      </w:r>
      <w:r w:rsidR="00211EAF" w:rsidRPr="00CA1901">
        <w:rPr>
          <w:rStyle w:val="CharacterStyle-Italic"/>
          <w:i w:val="0"/>
        </w:rPr>
        <w:t xml:space="preserve"> under which the Minister for Planning may require the proponent of a project to prepare an EES</w:t>
      </w:r>
      <w:r w:rsidR="00211EAF">
        <w:rPr>
          <w:rStyle w:val="CharacterStyle-Italic"/>
        </w:rPr>
        <w:t xml:space="preserve">. </w:t>
      </w:r>
    </w:p>
    <w:p w14:paraId="492E29C5" w14:textId="77777777" w:rsidR="00211EAF" w:rsidRDefault="00211EAF" w:rsidP="00C6048B">
      <w:pPr>
        <w:pStyle w:val="BodyText"/>
      </w:pPr>
      <w:r>
        <w:t>O</w:t>
      </w:r>
      <w:r w:rsidR="00B15C6B">
        <w:t xml:space="preserve">n </w:t>
      </w:r>
      <w:r>
        <w:t>3</w:t>
      </w:r>
      <w:r w:rsidR="00B15C6B">
        <w:t xml:space="preserve"> September 2015</w:t>
      </w:r>
      <w:r>
        <w:t xml:space="preserve">, the Minister for Planning declared </w:t>
      </w:r>
      <w:r w:rsidR="00E3260A">
        <w:t xml:space="preserve">Melbourne Metro </w:t>
      </w:r>
      <w:r>
        <w:t xml:space="preserve">to be 'public works' under </w:t>
      </w:r>
      <w:r w:rsidR="00CC402F">
        <w:t>Section</w:t>
      </w:r>
      <w:r>
        <w:t xml:space="preserve"> 3(1) of the Act. The Minister made this decision on the basis that he was satisfied that </w:t>
      </w:r>
      <w:r w:rsidR="00343894" w:rsidRPr="00343894">
        <w:t>Melbourne Metro</w:t>
      </w:r>
      <w:r w:rsidR="00343894" w:rsidRPr="00343894" w:rsidDel="00343894">
        <w:t xml:space="preserve"> </w:t>
      </w:r>
      <w:r w:rsidR="00550D76">
        <w:t>'</w:t>
      </w:r>
      <w:r>
        <w:t>could reasonably be considered to have or to be capable of having a significant effect on the environment</w:t>
      </w:r>
      <w:r w:rsidR="00550D76">
        <w:t xml:space="preserve">' </w:t>
      </w:r>
      <w:r w:rsidR="00B15C6B">
        <w:t xml:space="preserve">(see Section 1.3.1 </w:t>
      </w:r>
      <w:r w:rsidR="00550D76">
        <w:t xml:space="preserve">in Chapter 1 </w:t>
      </w:r>
      <w:r w:rsidR="00B15C6B">
        <w:t xml:space="preserve">for further detail about this decision). </w:t>
      </w:r>
    </w:p>
    <w:p w14:paraId="0B054575" w14:textId="77777777" w:rsidR="00B15C6B" w:rsidRDefault="00C6048B" w:rsidP="00211EAF">
      <w:pPr>
        <w:pStyle w:val="BodyText"/>
      </w:pPr>
      <w:r>
        <w:t xml:space="preserve">Following this decision, draft EES Scoping Requirements were released for public comment before they were </w:t>
      </w:r>
      <w:r w:rsidR="00AB1D75">
        <w:t xml:space="preserve">finalised and </w:t>
      </w:r>
      <w:r>
        <w:t xml:space="preserve">approved by the Minister. </w:t>
      </w:r>
      <w:r w:rsidR="00B15C6B">
        <w:t>An EES must be prepared in accordance with Scoping Requirements issued by the Minister for Planning.</w:t>
      </w:r>
      <w:r w:rsidR="00060230">
        <w:t xml:space="preserve"> </w:t>
      </w:r>
    </w:p>
    <w:p w14:paraId="644659A4" w14:textId="77777777" w:rsidR="00A07084" w:rsidRDefault="00B15C6B" w:rsidP="00A07084">
      <w:pPr>
        <w:pStyle w:val="BodyText"/>
      </w:pPr>
      <w:r>
        <w:t xml:space="preserve">This EES assesses the potential </w:t>
      </w:r>
      <w:r w:rsidR="00C6048B">
        <w:t>effect</w:t>
      </w:r>
      <w:r>
        <w:t xml:space="preserve"> of </w:t>
      </w:r>
      <w:r w:rsidR="00343894" w:rsidRPr="00343894">
        <w:t>Melbourne Metro</w:t>
      </w:r>
      <w:r w:rsidR="00343894" w:rsidRPr="00343894" w:rsidDel="00343894">
        <w:t xml:space="preserve"> </w:t>
      </w:r>
      <w:r w:rsidR="00C6048B">
        <w:t xml:space="preserve">on the environment </w:t>
      </w:r>
      <w:r>
        <w:t>in accordance with the Scoping Requirements (discussed in Section 1.3.2</w:t>
      </w:r>
      <w:r w:rsidR="00550D76">
        <w:t xml:space="preserve"> in Chapter 1</w:t>
      </w:r>
      <w:r>
        <w:t xml:space="preserve">). </w:t>
      </w:r>
      <w:r w:rsidR="00A07084">
        <w:t xml:space="preserve">It has also been prepared in consultation with stakeholders (as required by the Minister’s Scoping Requirements) and with the assistance of a Technical Reference Group (TRG). The role and membership of the TRG is </w:t>
      </w:r>
      <w:r w:rsidR="00343894">
        <w:t>discussed in</w:t>
      </w:r>
      <w:r w:rsidR="00A07084">
        <w:t xml:space="preserve"> Chapter 7 </w:t>
      </w:r>
      <w:r w:rsidR="00A07084" w:rsidRPr="00384EB6">
        <w:rPr>
          <w:rStyle w:val="CharacterStyle-Italic"/>
        </w:rPr>
        <w:t>Community and Stakeholder Engagement</w:t>
      </w:r>
      <w:r w:rsidR="00A07084">
        <w:t>.</w:t>
      </w:r>
    </w:p>
    <w:p w14:paraId="79E9D4FF" w14:textId="77777777" w:rsidR="00B15C6B" w:rsidRDefault="00C6048B" w:rsidP="00B15C6B">
      <w:pPr>
        <w:pStyle w:val="BodyText"/>
      </w:pPr>
      <w:r>
        <w:t xml:space="preserve">Following the public exhibition of this EES, it will be scrutinised by an independent Inquiry appointed by the Minister for Planning before the Minister undertakes his assessment of </w:t>
      </w:r>
      <w:r w:rsidR="00343894" w:rsidRPr="00343894">
        <w:t>Melbourne Metro</w:t>
      </w:r>
      <w:r>
        <w:t>.</w:t>
      </w:r>
    </w:p>
    <w:p w14:paraId="1A9D3479" w14:textId="77777777" w:rsidR="00B15C6B" w:rsidRDefault="00C6048B" w:rsidP="00B15C6B">
      <w:pPr>
        <w:pStyle w:val="BodyText"/>
      </w:pPr>
      <w:r>
        <w:t xml:space="preserve">The administrative procedures for </w:t>
      </w:r>
      <w:r w:rsidR="00A07084">
        <w:t xml:space="preserve">these steps in the assessment process are set out in </w:t>
      </w:r>
      <w:r w:rsidR="00B15C6B">
        <w:t xml:space="preserve">the </w:t>
      </w:r>
      <w:r w:rsidR="00B15C6B" w:rsidRPr="00384EB6">
        <w:rPr>
          <w:rStyle w:val="CharacterStyle-Italic"/>
        </w:rPr>
        <w:t>Ministerial guidelines for assessment of environmental effects under the Environment Effects Act 1978</w:t>
      </w:r>
      <w:r w:rsidR="00B15C6B">
        <w:t xml:space="preserve">. </w:t>
      </w:r>
    </w:p>
    <w:p w14:paraId="1BF2C6EC" w14:textId="77777777" w:rsidR="00B15C6B" w:rsidRDefault="00CC2BA8" w:rsidP="00B15C6B">
      <w:pPr>
        <w:pStyle w:val="BodyText"/>
      </w:pPr>
      <w:r>
        <w:fldChar w:fldCharType="begin"/>
      </w:r>
      <w:r>
        <w:instrText xml:space="preserve"> REF _Ref444200582 \h </w:instrText>
      </w:r>
      <w:r w:rsidR="00A9045F">
        <w:instrText xml:space="preserve"> \* MERGEFORMAT </w:instrText>
      </w:r>
      <w:r>
        <w:fldChar w:fldCharType="separate"/>
      </w:r>
      <w:r w:rsidR="00F039D6">
        <w:t>Figure </w:t>
      </w:r>
      <w:r w:rsidR="00F039D6">
        <w:rPr>
          <w:noProof/>
          <w:cs/>
        </w:rPr>
        <w:t>‎</w:t>
      </w:r>
      <w:r w:rsidR="00F039D6">
        <w:rPr>
          <w:noProof/>
        </w:rPr>
        <w:t>3</w:t>
      </w:r>
      <w:r w:rsidR="00F039D6">
        <w:rPr>
          <w:noProof/>
        </w:rPr>
        <w:noBreakHyphen/>
        <w:t>2</w:t>
      </w:r>
      <w:r>
        <w:fldChar w:fldCharType="end"/>
      </w:r>
      <w:r w:rsidR="00B15C6B">
        <w:t xml:space="preserve"> provides an overview of the EES process for </w:t>
      </w:r>
      <w:r w:rsidR="00E3260A">
        <w:t>Melbourne Metro</w:t>
      </w:r>
      <w:r w:rsidR="00B15C6B">
        <w:t>.</w:t>
      </w:r>
    </w:p>
    <w:p w14:paraId="4BC611B8" w14:textId="77777777" w:rsidR="00B15C6B" w:rsidRDefault="00384EB6" w:rsidP="00384EB6">
      <w:pPr>
        <w:pStyle w:val="Caption"/>
      </w:pPr>
      <w:bookmarkStart w:id="8" w:name="_Ref444200582"/>
      <w:r>
        <w:lastRenderedPageBreak/>
        <w:t>Figure </w:t>
      </w:r>
      <w:r w:rsidR="00F9626D">
        <w:fldChar w:fldCharType="begin"/>
      </w:r>
      <w:r w:rsidR="00F9626D">
        <w:instrText xml:space="preserve"> STYLEREF 1 \s </w:instrText>
      </w:r>
      <w:r w:rsidR="00F9626D">
        <w:fldChar w:fldCharType="separate"/>
      </w:r>
      <w:r w:rsidR="00F039D6">
        <w:rPr>
          <w:noProof/>
          <w:cs/>
        </w:rPr>
        <w:t>‎</w:t>
      </w:r>
      <w:r w:rsidR="00F039D6">
        <w:rPr>
          <w:noProof/>
        </w:rPr>
        <w:t>3</w:t>
      </w:r>
      <w:r w:rsidR="00F9626D">
        <w:rPr>
          <w:noProof/>
        </w:rPr>
        <w:fldChar w:fldCharType="end"/>
      </w:r>
      <w:r>
        <w:noBreakHyphen/>
      </w:r>
      <w:r w:rsidR="00F9626D">
        <w:fldChar w:fldCharType="begin"/>
      </w:r>
      <w:r w:rsidR="00F9626D">
        <w:instrText xml:space="preserve"> SEQ Figure \* ARABIC \s 1 </w:instrText>
      </w:r>
      <w:r w:rsidR="00F9626D">
        <w:fldChar w:fldCharType="separate"/>
      </w:r>
      <w:r w:rsidR="00F039D6">
        <w:rPr>
          <w:noProof/>
        </w:rPr>
        <w:t>2</w:t>
      </w:r>
      <w:r w:rsidR="00F9626D">
        <w:rPr>
          <w:noProof/>
        </w:rPr>
        <w:fldChar w:fldCharType="end"/>
      </w:r>
      <w:bookmarkEnd w:id="8"/>
      <w:r>
        <w:tab/>
      </w:r>
      <w:r w:rsidR="00B15C6B">
        <w:t>M</w:t>
      </w:r>
      <w:r w:rsidR="00E3260A">
        <w:t xml:space="preserve">elbourne Metro </w:t>
      </w:r>
      <w:r w:rsidR="00B15C6B">
        <w:t>EES process</w:t>
      </w:r>
    </w:p>
    <w:p w14:paraId="08A28C59" w14:textId="2714ED06" w:rsidR="008D2A1A" w:rsidRPr="008D2A1A" w:rsidRDefault="00B9372A" w:rsidP="004B047B">
      <w:pPr>
        <w:pStyle w:val="Object"/>
        <w:ind w:left="-993"/>
      </w:pPr>
      <w:r w:rsidRPr="00B9372A">
        <w:rPr>
          <w:noProof/>
          <w:lang w:eastAsia="en-AU"/>
        </w:rPr>
        <w:drawing>
          <wp:inline distT="0" distB="0" distL="0" distR="0" wp14:anchorId="388C9BCC" wp14:editId="14CBEED6">
            <wp:extent cx="5533745" cy="7602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965" r="6235"/>
                    <a:stretch/>
                  </pic:blipFill>
                  <pic:spPr bwMode="auto">
                    <a:xfrm>
                      <a:off x="0" y="0"/>
                      <a:ext cx="5533745" cy="7602220"/>
                    </a:xfrm>
                    <a:prstGeom prst="rect">
                      <a:avLst/>
                    </a:prstGeom>
                    <a:noFill/>
                    <a:ln>
                      <a:noFill/>
                    </a:ln>
                    <a:extLst>
                      <a:ext uri="{53640926-AAD7-44D8-BBD7-CCE9431645EC}">
                        <a14:shadowObscured xmlns:a14="http://schemas.microsoft.com/office/drawing/2010/main"/>
                      </a:ext>
                    </a:extLst>
                  </pic:spPr>
                </pic:pic>
              </a:graphicData>
            </a:graphic>
          </wp:inline>
        </w:drawing>
      </w:r>
    </w:p>
    <w:p w14:paraId="1090C9BE" w14:textId="77777777" w:rsidR="00B15C6B" w:rsidRDefault="00D110D2" w:rsidP="00343894">
      <w:pPr>
        <w:pStyle w:val="Heading2"/>
      </w:pPr>
      <w:bookmarkStart w:id="9" w:name="_Ref444200510"/>
      <w:bookmarkStart w:id="10" w:name="_Toc449886330"/>
      <w:r>
        <w:lastRenderedPageBreak/>
        <w:t>Principal a</w:t>
      </w:r>
      <w:r w:rsidR="00B15C6B">
        <w:t>pprovals</w:t>
      </w:r>
      <w:bookmarkEnd w:id="9"/>
      <w:bookmarkEnd w:id="10"/>
    </w:p>
    <w:p w14:paraId="1D982FEE" w14:textId="77777777" w:rsidR="00B15C6B" w:rsidRPr="00C66044" w:rsidRDefault="00B15C6B" w:rsidP="00D26A66">
      <w:pPr>
        <w:pStyle w:val="Heading3"/>
      </w:pPr>
      <w:r w:rsidRPr="00C66044">
        <w:t xml:space="preserve">Planning </w:t>
      </w:r>
      <w:r w:rsidR="00A2353C" w:rsidRPr="00C66044">
        <w:t>and Environment Act 1987</w:t>
      </w:r>
      <w:r w:rsidRPr="00C66044">
        <w:t xml:space="preserve"> </w:t>
      </w:r>
    </w:p>
    <w:p w14:paraId="72736FE3" w14:textId="77777777" w:rsidR="00B15C6B" w:rsidRDefault="00B15C6B" w:rsidP="00B15C6B">
      <w:pPr>
        <w:pStyle w:val="BodyText"/>
      </w:pPr>
      <w:r>
        <w:t xml:space="preserve">The </w:t>
      </w:r>
      <w:r w:rsidR="00A2353C" w:rsidRPr="007200C4">
        <w:rPr>
          <w:rStyle w:val="CharacterStyle-Italic"/>
        </w:rPr>
        <w:t xml:space="preserve">Planning and Environment </w:t>
      </w:r>
      <w:r w:rsidRPr="007200C4">
        <w:rPr>
          <w:rStyle w:val="CharacterStyle-Italic"/>
        </w:rPr>
        <w:t xml:space="preserve">Act </w:t>
      </w:r>
      <w:r w:rsidR="00A2353C" w:rsidRPr="007200C4">
        <w:rPr>
          <w:rStyle w:val="CharacterStyle-Italic"/>
        </w:rPr>
        <w:t>1987</w:t>
      </w:r>
      <w:r w:rsidR="00A2353C">
        <w:t xml:space="preserve"> </w:t>
      </w:r>
      <w:r w:rsidR="006312AE">
        <w:t xml:space="preserve">regulates </w:t>
      </w:r>
      <w:r>
        <w:t xml:space="preserve">the use and development of land in Victoria. The Act sets out the structure and administration of planning in Victoria and authorises the preparation, approval and adoption of planning schemes and planning scheme amendments by planning authorities. </w:t>
      </w:r>
    </w:p>
    <w:p w14:paraId="51983AAB" w14:textId="27F93C5B" w:rsidR="00B15C6B" w:rsidRDefault="00405B12" w:rsidP="00B15C6B">
      <w:pPr>
        <w:pStyle w:val="BodyText"/>
      </w:pPr>
      <w:r>
        <w:t>Melbourne Metro</w:t>
      </w:r>
      <w:r w:rsidR="00B15C6B">
        <w:t xml:space="preserve"> </w:t>
      </w:r>
      <w:r w:rsidR="004B047B">
        <w:t xml:space="preserve">affects land </w:t>
      </w:r>
      <w:r>
        <w:t>in</w:t>
      </w:r>
      <w:r w:rsidR="001228E3">
        <w:t xml:space="preserve"> four </w:t>
      </w:r>
      <w:r w:rsidR="00B15C6B">
        <w:t>planning schemes</w:t>
      </w:r>
      <w:r w:rsidR="001228E3">
        <w:t>: Melbo</w:t>
      </w:r>
      <w:r w:rsidR="004B047B">
        <w:t>urne, Port Phillip, Stonnington</w:t>
      </w:r>
      <w:r w:rsidR="001228E3">
        <w:t xml:space="preserve"> and Maribyrnong</w:t>
      </w:r>
      <w:r w:rsidR="00B15C6B">
        <w:t xml:space="preserve">. The various zones and overlays </w:t>
      </w:r>
      <w:r w:rsidR="001228E3">
        <w:t xml:space="preserve">in these </w:t>
      </w:r>
      <w:r w:rsidR="00B15C6B">
        <w:t>planning scheme</w:t>
      </w:r>
      <w:r w:rsidR="001228E3">
        <w:t>s</w:t>
      </w:r>
      <w:r w:rsidR="00B15C6B">
        <w:t xml:space="preserve"> that apply to </w:t>
      </w:r>
      <w:r>
        <w:t>Melbourne Metro</w:t>
      </w:r>
      <w:r w:rsidR="00B15C6B">
        <w:t xml:space="preserve"> are identified in the land use and planning impact assessment in</w:t>
      </w:r>
      <w:r>
        <w:t xml:space="preserve"> Technical</w:t>
      </w:r>
      <w:r w:rsidR="00B15C6B">
        <w:t xml:space="preserve"> Appendix </w:t>
      </w:r>
      <w:r w:rsidR="00D26A66">
        <w:t>E</w:t>
      </w:r>
      <w:r w:rsidR="00B15C6B">
        <w:t xml:space="preserve"> of this EES.</w:t>
      </w:r>
      <w:r w:rsidR="00CC402F">
        <w:t xml:space="preserve"> </w:t>
      </w:r>
    </w:p>
    <w:p w14:paraId="580F9ED7" w14:textId="77777777" w:rsidR="004A3086" w:rsidRPr="0097373A" w:rsidRDefault="004A3086">
      <w:pPr>
        <w:pStyle w:val="BodyText"/>
      </w:pPr>
      <w:r w:rsidRPr="0097373A">
        <w:t xml:space="preserve">A </w:t>
      </w:r>
      <w:r w:rsidR="0086521D" w:rsidRPr="0097373A">
        <w:t xml:space="preserve">draft </w:t>
      </w:r>
      <w:r w:rsidRPr="0097373A">
        <w:t xml:space="preserve">planning scheme amendment </w:t>
      </w:r>
      <w:r w:rsidR="0097373A" w:rsidRPr="0097373A">
        <w:t xml:space="preserve">displayed </w:t>
      </w:r>
      <w:r w:rsidR="0086521D" w:rsidRPr="0097373A">
        <w:t>with this EES</w:t>
      </w:r>
      <w:r w:rsidRPr="0097373A">
        <w:t xml:space="preserve"> includes:</w:t>
      </w:r>
    </w:p>
    <w:p w14:paraId="6A4D8D72" w14:textId="7217919F" w:rsidR="00B15C6B" w:rsidRDefault="004A3086" w:rsidP="004A76F9">
      <w:pPr>
        <w:pStyle w:val="BodyBullet1"/>
      </w:pPr>
      <w:r>
        <w:t xml:space="preserve">An Incorporated Document </w:t>
      </w:r>
      <w:r w:rsidR="00B15C6B">
        <w:t>permit</w:t>
      </w:r>
      <w:r>
        <w:t>ting</w:t>
      </w:r>
      <w:r w:rsidR="00B15C6B">
        <w:t xml:space="preserve"> the use and development of land for the purposes of </w:t>
      </w:r>
      <w:r w:rsidR="00343894" w:rsidRPr="00343894">
        <w:t>Melbourne Metro</w:t>
      </w:r>
      <w:r>
        <w:t xml:space="preserve">. The Incorporated Document would exempt project works from the planning permit triggers in the four planning schemes, provided the works are within </w:t>
      </w:r>
      <w:r w:rsidR="002F7361">
        <w:t>the</w:t>
      </w:r>
      <w:r>
        <w:t xml:space="preserve"> defined Project Land and </w:t>
      </w:r>
      <w:r w:rsidR="00BB4872">
        <w:t xml:space="preserve">are </w:t>
      </w:r>
      <w:r>
        <w:t>ca</w:t>
      </w:r>
      <w:r w:rsidR="00F24377">
        <w:t>rried out in accordance with</w:t>
      </w:r>
      <w:r>
        <w:t xml:space="preserve"> conditions</w:t>
      </w:r>
      <w:r w:rsidR="001228E3">
        <w:t xml:space="preserve"> set out in the Incorporated Document</w:t>
      </w:r>
      <w:r>
        <w:t xml:space="preserve">. </w:t>
      </w:r>
      <w:r w:rsidR="001228E3">
        <w:t xml:space="preserve">This type of planning control has frequently been used </w:t>
      </w:r>
      <w:r w:rsidR="002F7361">
        <w:t>on major infrastructure projects</w:t>
      </w:r>
      <w:r w:rsidR="002C2B98">
        <w:t xml:space="preserve"> </w:t>
      </w:r>
      <w:r w:rsidR="00E52F2C">
        <w:t>(</w:t>
      </w:r>
      <w:r w:rsidR="001228E3">
        <w:t>in particular</w:t>
      </w:r>
      <w:r w:rsidR="00D26A66">
        <w:t>,</w:t>
      </w:r>
      <w:r w:rsidR="001228E3">
        <w:t xml:space="preserve"> linear projects</w:t>
      </w:r>
      <w:r w:rsidR="00E52F2C">
        <w:t xml:space="preserve">) </w:t>
      </w:r>
      <w:r w:rsidR="002F7361">
        <w:t>and provides a</w:t>
      </w:r>
      <w:r w:rsidR="00B10B16">
        <w:t xml:space="preserve"> s</w:t>
      </w:r>
      <w:r w:rsidR="001228E3">
        <w:t xml:space="preserve">traightforward legal and administrative mechanism </w:t>
      </w:r>
      <w:r w:rsidR="002B5F7E">
        <w:t xml:space="preserve">for the State to regulate and control the development of </w:t>
      </w:r>
      <w:r w:rsidR="008C0604">
        <w:t>Melbourne Metro</w:t>
      </w:r>
    </w:p>
    <w:p w14:paraId="6C62B199" w14:textId="77777777" w:rsidR="00D94C8A" w:rsidRDefault="00E6584E" w:rsidP="00E6584E">
      <w:pPr>
        <w:pStyle w:val="BodyBullet1"/>
      </w:pPr>
      <w:r>
        <w:t xml:space="preserve">A control to protect the tunnels, station and other infrastructure during the construction and operation of Melbourne Metro from inconsistent developments, thereby addressing these issues. </w:t>
      </w:r>
    </w:p>
    <w:p w14:paraId="3C384B78" w14:textId="68BA9E58" w:rsidR="00E6584E" w:rsidRDefault="00D94C8A" w:rsidP="00D94C8A">
      <w:pPr>
        <w:pStyle w:val="BodyBullet1"/>
        <w:numPr>
          <w:ilvl w:val="0"/>
          <w:numId w:val="0"/>
        </w:numPr>
      </w:pPr>
      <w:r>
        <w:t>In relation to tunnel protection, it is considered desirable to apply a control g</w:t>
      </w:r>
      <w:r w:rsidR="00E6584E" w:rsidRPr="00511F8A">
        <w:t>iven the scale of Melbourne Metro, the number of properties it passes under and its impact on multiple municipalities</w:t>
      </w:r>
      <w:r>
        <w:t>.</w:t>
      </w:r>
      <w:r w:rsidR="00E6584E" w:rsidRPr="00511F8A">
        <w:t xml:space="preserve"> MMRA’s preference was to clearly identify the area in which tunnel protection considerations </w:t>
      </w:r>
      <w:r w:rsidR="00E6584E">
        <w:t>would</w:t>
      </w:r>
      <w:r w:rsidR="00E6584E" w:rsidRPr="00511F8A">
        <w:t xml:space="preserve"> arise in the planning schemes. This would ensure that proponents of future development that may affect Melbourne Metro assets </w:t>
      </w:r>
      <w:r w:rsidR="00E6584E">
        <w:t>would</w:t>
      </w:r>
      <w:r w:rsidR="00E6584E" w:rsidRPr="00511F8A">
        <w:t xml:space="preserve"> become aware of the potential issues through normal planning processes and vendor statements, and can plan development accordingly. </w:t>
      </w:r>
    </w:p>
    <w:p w14:paraId="0C6C047A" w14:textId="77777777" w:rsidR="00C66044" w:rsidRDefault="00E6584E" w:rsidP="005038C3">
      <w:pPr>
        <w:pStyle w:val="BodyText"/>
      </w:pPr>
      <w:r w:rsidRPr="00511F8A">
        <w:t xml:space="preserve">It was also considered desirable to test and seek public comment on whether the existing suite of </w:t>
      </w:r>
      <w:r>
        <w:t>legislations</w:t>
      </w:r>
      <w:r w:rsidR="00D94C8A">
        <w:t xml:space="preserve"> or Victoria Planning Provisions </w:t>
      </w:r>
      <w:r>
        <w:t xml:space="preserve">could </w:t>
      </w:r>
      <w:r w:rsidRPr="00511F8A">
        <w:t>be adapted for this purpose.</w:t>
      </w:r>
      <w:r>
        <w:t xml:space="preserve"> </w:t>
      </w:r>
    </w:p>
    <w:p w14:paraId="56B41A80" w14:textId="26F48168" w:rsidR="00E6584E" w:rsidRPr="00D738FE" w:rsidRDefault="00E6584E" w:rsidP="005038C3">
      <w:pPr>
        <w:pStyle w:val="BodyText"/>
        <w:keepNext/>
        <w:rPr>
          <w:rFonts w:cs="Arial"/>
          <w:szCs w:val="20"/>
          <w:lang w:val="en-GB"/>
        </w:rPr>
      </w:pPr>
      <w:r>
        <w:rPr>
          <w:rFonts w:cs="Arial"/>
          <w:szCs w:val="20"/>
          <w:lang w:val="en-GB"/>
        </w:rPr>
        <w:lastRenderedPageBreak/>
        <w:t>Three options to protect the tunnels have been considered. These options are not mutually exclusive:</w:t>
      </w:r>
    </w:p>
    <w:p w14:paraId="56698D85" w14:textId="0E542456" w:rsidR="00E6584E" w:rsidRPr="00D94C8A" w:rsidRDefault="00E6584E" w:rsidP="00D94C8A">
      <w:pPr>
        <w:pStyle w:val="BodyBullet1"/>
      </w:pPr>
      <w:r w:rsidRPr="00D94C8A">
        <w:t xml:space="preserve">A legislative approach. This could include an amendment to the scope of section 54 of the </w:t>
      </w:r>
      <w:r w:rsidRPr="00066894">
        <w:rPr>
          <w:i/>
        </w:rPr>
        <w:t>Transport (Compliance and Miscellaneous) Act 1983</w:t>
      </w:r>
      <w:r w:rsidRPr="00D94C8A">
        <w:t xml:space="preserve"> to require persons who propose to develop land along or in the immediate proximity of Melbourne Metro to obtain approval from </w:t>
      </w:r>
      <w:proofErr w:type="spellStart"/>
      <w:r w:rsidRPr="00D94C8A">
        <w:t>VicTrack</w:t>
      </w:r>
      <w:proofErr w:type="spellEnd"/>
      <w:r w:rsidRPr="00D94C8A">
        <w:t xml:space="preserve"> (the authority owning and managing railway land and assets in Victoria) as was done for the Melbourne Underground Rail Link (City Loop). Alternatively, project-specific legislation could be enacted.</w:t>
      </w:r>
    </w:p>
    <w:p w14:paraId="2A670C2C" w14:textId="129578A5" w:rsidR="00E6584E" w:rsidRDefault="00E6584E" w:rsidP="00D94C8A">
      <w:pPr>
        <w:pStyle w:val="BodyBullet1"/>
      </w:pPr>
      <w:r w:rsidRPr="00D94C8A">
        <w:t>Amending th</w:t>
      </w:r>
      <w:r w:rsidR="00D94C8A" w:rsidRPr="00D94C8A">
        <w:t xml:space="preserve">e Victoria Planning Provisions </w:t>
      </w:r>
      <w:r w:rsidRPr="00D94C8A">
        <w:t xml:space="preserve">by including: </w:t>
      </w:r>
    </w:p>
    <w:p w14:paraId="4C7DF368" w14:textId="63FC6AFE" w:rsidR="00D94C8A" w:rsidRPr="00D94C8A" w:rsidRDefault="00066894" w:rsidP="00D94C8A">
      <w:pPr>
        <w:pStyle w:val="BodyBullet2"/>
      </w:pPr>
      <w:r>
        <w:t>A</w:t>
      </w:r>
      <w:r w:rsidR="00D94C8A" w:rsidRPr="00D94C8A">
        <w:t xml:space="preserve"> new particular provision in Clause 52 of the relevant planning schemes to describe the type and location of permit applications that need to be referred to a referral authority</w:t>
      </w:r>
    </w:p>
    <w:p w14:paraId="16EFC35C" w14:textId="00C277EA" w:rsidR="00D94C8A" w:rsidRPr="00D94C8A" w:rsidRDefault="00066894" w:rsidP="00D94C8A">
      <w:pPr>
        <w:pStyle w:val="BodyBullet2"/>
      </w:pPr>
      <w:r>
        <w:t>I</w:t>
      </w:r>
      <w:r w:rsidR="00D94C8A" w:rsidRPr="00D94C8A">
        <w:t>ntroducing a project-specific overlay</w:t>
      </w:r>
    </w:p>
    <w:p w14:paraId="07266D74" w14:textId="6F14077E" w:rsidR="00D94C8A" w:rsidRPr="00D94C8A" w:rsidRDefault="00066894" w:rsidP="00D94C8A">
      <w:pPr>
        <w:pStyle w:val="BodyBullet2"/>
      </w:pPr>
      <w:r>
        <w:t>A</w:t>
      </w:r>
      <w:r w:rsidR="00D94C8A" w:rsidRPr="00D94C8A">
        <w:t>mending Clause 66.02 to describe the type and location of permit applications that need to be refe</w:t>
      </w:r>
      <w:r>
        <w:t>rred to a referral authority.</w:t>
      </w:r>
    </w:p>
    <w:p w14:paraId="029D5071" w14:textId="4911A47C" w:rsidR="00D94C8A" w:rsidRPr="00D94C8A" w:rsidRDefault="00D94C8A" w:rsidP="00D94C8A">
      <w:pPr>
        <w:pStyle w:val="BodyBullet1"/>
      </w:pPr>
      <w:r w:rsidRPr="00D94C8A">
        <w:t>Amending the planning schemes to introduce a schedule to the Design and Development Overlay.</w:t>
      </w:r>
    </w:p>
    <w:p w14:paraId="4779D248" w14:textId="409E45B8" w:rsidR="00E6584E" w:rsidRPr="00D94C8A" w:rsidRDefault="00E6584E" w:rsidP="00C66044">
      <w:pPr>
        <w:pStyle w:val="BodyText"/>
        <w:rPr>
          <w:rFonts w:cs="Arial"/>
          <w:szCs w:val="20"/>
          <w:lang w:val="en-GB"/>
        </w:rPr>
      </w:pPr>
      <w:r w:rsidRPr="00E27A8D">
        <w:t xml:space="preserve">When considering the preferred strategy, MMRA was concerned to balance the need to protect Melbourne Metro from inappropriate development, </w:t>
      </w:r>
      <w:r w:rsidR="00066894">
        <w:t>while</w:t>
      </w:r>
      <w:r w:rsidRPr="00E27A8D">
        <w:t xml:space="preserve"> also achieving visibility in the planning system and integration with the planning permit process. Early consideration of the project infrastructure by future development</w:t>
      </w:r>
      <w:r w:rsidR="00066894">
        <w:t>s</w:t>
      </w:r>
      <w:r w:rsidRPr="00E27A8D">
        <w:t xml:space="preserve"> will assist design and decision-making for those developments.</w:t>
      </w:r>
    </w:p>
    <w:p w14:paraId="2784FBEF" w14:textId="76680709" w:rsidR="00E6584E" w:rsidRDefault="00E6584E" w:rsidP="00C66044">
      <w:pPr>
        <w:pStyle w:val="BodyText"/>
      </w:pPr>
      <w:r>
        <w:t>The</w:t>
      </w:r>
      <w:r w:rsidRPr="00290117">
        <w:t xml:space="preserve"> Design and Development Overlay </w:t>
      </w:r>
      <w:r>
        <w:t>was considered the best option from existing overlay controls in the V</w:t>
      </w:r>
      <w:r w:rsidR="00F82DE5">
        <w:t xml:space="preserve">ictoria </w:t>
      </w:r>
      <w:r>
        <w:t>P</w:t>
      </w:r>
      <w:r w:rsidR="00F82DE5">
        <w:t xml:space="preserve">lanning </w:t>
      </w:r>
      <w:r>
        <w:t>P</w:t>
      </w:r>
      <w:r w:rsidR="00F82DE5">
        <w:t>rovision</w:t>
      </w:r>
      <w:r>
        <w:t>s.  A</w:t>
      </w:r>
      <w:r w:rsidRPr="00511F8A">
        <w:t xml:space="preserve"> draft </w:t>
      </w:r>
      <w:r w:rsidRPr="00A026DE">
        <w:t>D</w:t>
      </w:r>
      <w:r>
        <w:t>esign and Development Overlay</w:t>
      </w:r>
      <w:r w:rsidRPr="00511F8A">
        <w:t xml:space="preserve"> </w:t>
      </w:r>
      <w:r w:rsidR="00D94C8A">
        <w:t>s</w:t>
      </w:r>
      <w:r w:rsidRPr="00511F8A">
        <w:t>chedule has</w:t>
      </w:r>
      <w:r>
        <w:t xml:space="preserve"> been prepared and is included in Technical</w:t>
      </w:r>
      <w:r w:rsidRPr="00511F8A">
        <w:t xml:space="preserve"> Appendix A of the EES.</w:t>
      </w:r>
      <w:r w:rsidRPr="00806235">
        <w:t xml:space="preserve"> </w:t>
      </w:r>
      <w:r>
        <w:t xml:space="preserve">The </w:t>
      </w:r>
      <w:r w:rsidRPr="00A026DE">
        <w:t>D</w:t>
      </w:r>
      <w:r>
        <w:t xml:space="preserve">esign and Development Overlay </w:t>
      </w:r>
      <w:r w:rsidRPr="00A026DE">
        <w:t>is proposed to work in conjunction with the establishment of easements, title acquisition and strata acquisition.</w:t>
      </w:r>
    </w:p>
    <w:p w14:paraId="33C1C941" w14:textId="5E26B92F" w:rsidR="00E6584E" w:rsidRDefault="00E6584E" w:rsidP="00C66044">
      <w:pPr>
        <w:pStyle w:val="BodyText"/>
      </w:pPr>
      <w:r>
        <w:t>The Design and Development Overlay schedule would clearly identify the land to which it applies in the accompanying planning scheme maps. A Design and Development Overlay can be used to trigger planning approval for buildings and works within the Design and Development Overlay area and can require referrals of applications to the Secretary</w:t>
      </w:r>
      <w:r w:rsidR="00066894">
        <w:t xml:space="preserve"> of DEDJT</w:t>
      </w:r>
      <w:r w:rsidR="00FD3242">
        <w:t>R</w:t>
      </w:r>
      <w:r>
        <w:t xml:space="preserve"> / </w:t>
      </w:r>
      <w:proofErr w:type="spellStart"/>
      <w:r>
        <w:t>VicTrack</w:t>
      </w:r>
      <w:proofErr w:type="spellEnd"/>
      <w:r>
        <w:t xml:space="preserve"> to ensure they have an opportunity to assess and advise on how a proposed development could impact on Melbourne Metro. The Cities of Melbourne, Port Phillip and Stonnington have all used this tool to manage design and built form within their municipalities and would be familiar with the Design and Development Overlay and its implementation. </w:t>
      </w:r>
    </w:p>
    <w:p w14:paraId="2C529CC1" w14:textId="77777777" w:rsidR="00E6584E" w:rsidRDefault="00E6584E" w:rsidP="00C66044">
      <w:pPr>
        <w:pStyle w:val="BodyText"/>
      </w:pPr>
      <w:r>
        <w:lastRenderedPageBreak/>
        <w:t>Any application for review to VCAT would be required to clearly demonstrate on strong engineering grounds why the application should be approved or any condition designed to protect the Melbourne Metro be varied. It is also noted that the Minister for Planning retains the power to call in and determine planning or review applications.</w:t>
      </w:r>
    </w:p>
    <w:p w14:paraId="4FBEF2BF" w14:textId="5A271E6C" w:rsidR="00B15C6B" w:rsidRDefault="00E6584E" w:rsidP="00343894">
      <w:pPr>
        <w:pStyle w:val="BodyText"/>
      </w:pPr>
      <w:r>
        <w:t xml:space="preserve">The schedules to the Design and Development Overlay are proposed to be introduced into the relevant planning schemes at </w:t>
      </w:r>
      <w:r w:rsidR="00F82DE5">
        <w:t>C</w:t>
      </w:r>
      <w:r>
        <w:t xml:space="preserve">lause 43.02. By including a referral requirement, the schedule to </w:t>
      </w:r>
      <w:r w:rsidR="00F82DE5">
        <w:t>C</w:t>
      </w:r>
      <w:r>
        <w:t xml:space="preserve">lause 66.04 of the relevant planning schemes also need to be amended. </w:t>
      </w:r>
      <w:r w:rsidR="00B15C6B">
        <w:t xml:space="preserve">The draft </w:t>
      </w:r>
      <w:r w:rsidR="0029753A">
        <w:t>p</w:t>
      </w:r>
      <w:r w:rsidR="00B15C6B">
        <w:t xml:space="preserve">lanning </w:t>
      </w:r>
      <w:r w:rsidR="0029753A">
        <w:t>s</w:t>
      </w:r>
      <w:r w:rsidR="00B15C6B">
        <w:t xml:space="preserve">cheme </w:t>
      </w:r>
      <w:r w:rsidR="0029753A">
        <w:t>a</w:t>
      </w:r>
      <w:r w:rsidR="00B15C6B">
        <w:t>mendment</w:t>
      </w:r>
      <w:r w:rsidR="0029753A">
        <w:t xml:space="preserve"> </w:t>
      </w:r>
      <w:r w:rsidR="00B15C6B">
        <w:t>list</w:t>
      </w:r>
      <w:r w:rsidR="00C7407C">
        <w:t>s</w:t>
      </w:r>
      <w:r w:rsidR="00B15C6B">
        <w:t xml:space="preserve"> the Secretary to DEDJTR as a Determining Referral Authority within the Project Area and the Minister for Planning as the Responsible Authority for the </w:t>
      </w:r>
      <w:r w:rsidR="00142E17">
        <w:t>p</w:t>
      </w:r>
      <w:r w:rsidR="00B15C6B">
        <w:t xml:space="preserve">roject. </w:t>
      </w:r>
      <w:r w:rsidR="00142E17">
        <w:t xml:space="preserve">When construction of </w:t>
      </w:r>
      <w:r w:rsidR="00343894" w:rsidRPr="00343894">
        <w:t>Melbourne Metro</w:t>
      </w:r>
      <w:r w:rsidR="00343894" w:rsidRPr="00343894" w:rsidDel="00343894">
        <w:t xml:space="preserve"> </w:t>
      </w:r>
      <w:r w:rsidR="00142E17">
        <w:t>has finished</w:t>
      </w:r>
      <w:r w:rsidR="00B15C6B">
        <w:t xml:space="preserve">, </w:t>
      </w:r>
      <w:proofErr w:type="spellStart"/>
      <w:r w:rsidR="00B15C6B">
        <w:t>VicTrack</w:t>
      </w:r>
      <w:proofErr w:type="spellEnd"/>
      <w:r w:rsidR="00B15C6B">
        <w:t xml:space="preserve"> would take over </w:t>
      </w:r>
      <w:r w:rsidR="00F23255">
        <w:t>as</w:t>
      </w:r>
      <w:r w:rsidR="00B15C6B">
        <w:t xml:space="preserve"> Determining Referral Authority </w:t>
      </w:r>
      <w:r w:rsidR="00F24377">
        <w:t xml:space="preserve">for the </w:t>
      </w:r>
      <w:r w:rsidR="00F82DE5">
        <w:t>Design and Development Overlay</w:t>
      </w:r>
      <w:r w:rsidR="00B15C6B">
        <w:t xml:space="preserve">. </w:t>
      </w:r>
      <w:proofErr w:type="spellStart"/>
      <w:r w:rsidR="00B15C6B">
        <w:t>VicTrack</w:t>
      </w:r>
      <w:proofErr w:type="spellEnd"/>
      <w:r w:rsidR="00B15C6B">
        <w:t xml:space="preserve"> is the owner and manager of railway land and infrastructure in Victoria.</w:t>
      </w:r>
      <w:r w:rsidR="00F24377">
        <w:t xml:space="preserve"> </w:t>
      </w:r>
      <w:r w:rsidR="00343894">
        <w:t xml:space="preserve">Technical </w:t>
      </w:r>
      <w:r w:rsidR="00A551B0" w:rsidRPr="00343894">
        <w:rPr>
          <w:rStyle w:val="CharacterStyle-Highlight"/>
          <w:shd w:val="clear" w:color="auto" w:fill="auto"/>
        </w:rPr>
        <w:t xml:space="preserve">Appendix </w:t>
      </w:r>
      <w:r w:rsidR="00343894" w:rsidRPr="00343894">
        <w:rPr>
          <w:rStyle w:val="CharacterStyle-Highlight"/>
          <w:shd w:val="clear" w:color="auto" w:fill="auto"/>
        </w:rPr>
        <w:t>A</w:t>
      </w:r>
      <w:r w:rsidR="00A551B0" w:rsidRPr="00343894">
        <w:t xml:space="preserve"> contains</w:t>
      </w:r>
      <w:r w:rsidR="00A551B0">
        <w:t xml:space="preserve"> the </w:t>
      </w:r>
      <w:r w:rsidR="00F24377">
        <w:t>draft planning scheme amendment</w:t>
      </w:r>
      <w:r w:rsidR="00343894">
        <w:t xml:space="preserve"> and associated documentation</w:t>
      </w:r>
      <w:r w:rsidR="00F24377">
        <w:t>.</w:t>
      </w:r>
    </w:p>
    <w:p w14:paraId="6B7371E9" w14:textId="219BA027" w:rsidR="00B84C17" w:rsidRDefault="00B84C17" w:rsidP="009A1CBD">
      <w:pPr>
        <w:pStyle w:val="BodyText"/>
      </w:pPr>
      <w:r w:rsidRPr="00B84C17">
        <w:t xml:space="preserve">If approved, the planning scheme amendment for </w:t>
      </w:r>
      <w:r>
        <w:t>Melbourne Metro</w:t>
      </w:r>
      <w:r w:rsidRPr="00B84C17">
        <w:t xml:space="preserve"> will have significant implications for Victoria’s transport system. Accordingly, the Minister for Planning, as an interface body under the </w:t>
      </w:r>
      <w:r w:rsidRPr="007200C4">
        <w:rPr>
          <w:rStyle w:val="CharacterStyle-Italic"/>
        </w:rPr>
        <w:t>Transport Integration Act</w:t>
      </w:r>
      <w:r w:rsidR="00343894" w:rsidRPr="007200C4">
        <w:rPr>
          <w:rStyle w:val="CharacterStyle-Italic"/>
        </w:rPr>
        <w:t xml:space="preserve"> 2010</w:t>
      </w:r>
      <w:r w:rsidRPr="00B84C17">
        <w:t>, must have regard to the transport system objectives and decision making principles set out in that Act and the appropriate weight to be given to them, when undert</w:t>
      </w:r>
      <w:r>
        <w:t>aking his assessment of Melbourne Metro</w:t>
      </w:r>
      <w:r w:rsidRPr="00B84C17">
        <w:t xml:space="preserve">. </w:t>
      </w:r>
      <w:r w:rsidRPr="00D26A66">
        <w:rPr>
          <w:rStyle w:val="CharacterStyle-Italic"/>
          <w:i w:val="0"/>
        </w:rPr>
        <w:t xml:space="preserve">Chapter 24 </w:t>
      </w:r>
      <w:r w:rsidRPr="00343894">
        <w:rPr>
          <w:rStyle w:val="CharacterStyle-Italic"/>
        </w:rPr>
        <w:t>Conclusion</w:t>
      </w:r>
      <w:r>
        <w:t xml:space="preserve"> of this EES </w:t>
      </w:r>
      <w:r w:rsidRPr="00B84C17">
        <w:t xml:space="preserve">includes an assessment of </w:t>
      </w:r>
      <w:r>
        <w:t>Melbourne Metro</w:t>
      </w:r>
      <w:r w:rsidRPr="00B84C17">
        <w:t xml:space="preserve"> against the transport system objectives and decision making principles as set out in the </w:t>
      </w:r>
      <w:r w:rsidRPr="00F82DE5">
        <w:rPr>
          <w:i/>
        </w:rPr>
        <w:t>Transport Integration Act</w:t>
      </w:r>
      <w:r w:rsidR="00F82DE5" w:rsidRPr="00F82DE5">
        <w:rPr>
          <w:i/>
        </w:rPr>
        <w:t xml:space="preserve"> 2010</w:t>
      </w:r>
      <w:r>
        <w:t>.</w:t>
      </w:r>
    </w:p>
    <w:p w14:paraId="46E5E065" w14:textId="77777777" w:rsidR="00B15C6B" w:rsidRPr="00C66044" w:rsidRDefault="00B15C6B" w:rsidP="00E52F2C">
      <w:pPr>
        <w:pStyle w:val="Heading3"/>
      </w:pPr>
      <w:r w:rsidRPr="00C66044">
        <w:t>Aboriginal Heritage Act 2006</w:t>
      </w:r>
    </w:p>
    <w:p w14:paraId="7BDE5A21" w14:textId="75FA5B98" w:rsidR="00B15C6B" w:rsidRDefault="00142E17" w:rsidP="00E52F2C">
      <w:pPr>
        <w:pStyle w:val="BodyText"/>
      </w:pPr>
      <w:r>
        <w:t>If</w:t>
      </w:r>
      <w:r w:rsidR="00B15C6B">
        <w:t xml:space="preserve"> a</w:t>
      </w:r>
      <w:r>
        <w:t xml:space="preserve"> project proponent is required to prepare an</w:t>
      </w:r>
      <w:r w:rsidR="00B15C6B">
        <w:t xml:space="preserve"> EES under the </w:t>
      </w:r>
      <w:r w:rsidR="00B15C6B" w:rsidRPr="009F5C8D">
        <w:rPr>
          <w:rStyle w:val="CharacterStyle-Italic"/>
        </w:rPr>
        <w:t>Environment Effects Act 1978</w:t>
      </w:r>
      <w:r w:rsidR="00B15C6B">
        <w:t xml:space="preserve">, </w:t>
      </w:r>
      <w:r>
        <w:t xml:space="preserve">it </w:t>
      </w:r>
      <w:r w:rsidR="00B15C6B">
        <w:t xml:space="preserve">must also prepare a CHMP for the area in which works are to be carried out. </w:t>
      </w:r>
      <w:r w:rsidR="008C0604">
        <w:t xml:space="preserve">Technical </w:t>
      </w:r>
      <w:r w:rsidR="00B15C6B">
        <w:t xml:space="preserve">Appendix K contains the Aboriginal heritage impact assessment describing </w:t>
      </w:r>
      <w:r w:rsidR="008C0604">
        <w:t>Melbourne Metro's</w:t>
      </w:r>
      <w:r w:rsidR="00B15C6B">
        <w:t xml:space="preserve"> potential impact upon Aboriginal heritage within the Project Area.</w:t>
      </w:r>
    </w:p>
    <w:p w14:paraId="1C34A338" w14:textId="0D53A1BD" w:rsidR="008C0604" w:rsidRDefault="00B15C6B" w:rsidP="00B15C6B">
      <w:pPr>
        <w:pStyle w:val="BodyText"/>
      </w:pPr>
      <w:r>
        <w:t xml:space="preserve">MMRA </w:t>
      </w:r>
      <w:r w:rsidR="00A83CC8">
        <w:t>is preparing</w:t>
      </w:r>
      <w:r>
        <w:t xml:space="preserve"> a CHMP in consultation with the Office of Aboriginal Affairs Victoria and the Traditional Landowners. The CHMP would be submitted to the </w:t>
      </w:r>
      <w:r w:rsidR="00C13E96">
        <w:t xml:space="preserve">Office of Aboriginal Affairs Victoria </w:t>
      </w:r>
      <w:r>
        <w:t xml:space="preserve">(as there is no Registered Aboriginal Party </w:t>
      </w:r>
      <w:r w:rsidR="00D96D0F">
        <w:t xml:space="preserve">within </w:t>
      </w:r>
      <w:r>
        <w:t xml:space="preserve">the </w:t>
      </w:r>
      <w:r w:rsidR="00D96D0F">
        <w:t>Activity</w:t>
      </w:r>
      <w:r>
        <w:t xml:space="preserve"> Area)</w:t>
      </w:r>
      <w:r w:rsidR="00BB4872">
        <w:t>,</w:t>
      </w:r>
      <w:r>
        <w:t xml:space="preserve"> </w:t>
      </w:r>
      <w:r w:rsidR="00E5135C">
        <w:t xml:space="preserve">for approval after </w:t>
      </w:r>
      <w:r>
        <w:t>the Minister's EES Assessment.</w:t>
      </w:r>
      <w:r w:rsidR="008C0604">
        <w:t xml:space="preserve"> The CHMP is not being exhibited with this EES.</w:t>
      </w:r>
      <w:r w:rsidR="00142E17">
        <w:t xml:space="preserve"> </w:t>
      </w:r>
    </w:p>
    <w:p w14:paraId="2A665F4E" w14:textId="2098C710" w:rsidR="00B15C6B" w:rsidRDefault="008C0604" w:rsidP="00B15C6B">
      <w:pPr>
        <w:pStyle w:val="BodyText"/>
      </w:pPr>
      <w:r>
        <w:t xml:space="preserve">As required by Section 49 of the </w:t>
      </w:r>
      <w:r w:rsidRPr="00F82DE5">
        <w:rPr>
          <w:i/>
        </w:rPr>
        <w:t>Aboriginal Heritage Act</w:t>
      </w:r>
      <w:r w:rsidR="00F82DE5" w:rsidRPr="00F82DE5">
        <w:rPr>
          <w:i/>
        </w:rPr>
        <w:t xml:space="preserve"> 2006</w:t>
      </w:r>
      <w:r>
        <w:t>, c</w:t>
      </w:r>
      <w:r w:rsidR="00142E17">
        <w:t xml:space="preserve">onstruction of the </w:t>
      </w:r>
      <w:r>
        <w:t>Melbourne Metro</w:t>
      </w:r>
      <w:r w:rsidR="00142E17">
        <w:t xml:space="preserve"> works assessed in this EES cannot commence until the CHMP has been approved.</w:t>
      </w:r>
    </w:p>
    <w:p w14:paraId="34630383" w14:textId="77777777" w:rsidR="00B15C6B" w:rsidRPr="00C66044" w:rsidRDefault="00B15C6B" w:rsidP="00343894">
      <w:pPr>
        <w:pStyle w:val="Heading3"/>
      </w:pPr>
      <w:r w:rsidRPr="00C66044">
        <w:lastRenderedPageBreak/>
        <w:t>Heritage Act 1995</w:t>
      </w:r>
    </w:p>
    <w:p w14:paraId="558A79B4" w14:textId="669F682A" w:rsidR="00B15C6B" w:rsidRDefault="00B15C6B" w:rsidP="00B15C6B">
      <w:pPr>
        <w:pStyle w:val="BodyText"/>
      </w:pPr>
      <w:r>
        <w:t xml:space="preserve">The </w:t>
      </w:r>
      <w:r w:rsidRPr="009F5C8D">
        <w:rPr>
          <w:rStyle w:val="CharacterStyle-Italic"/>
        </w:rPr>
        <w:t>Heritage Act 1995</w:t>
      </w:r>
      <w:r>
        <w:t xml:space="preserve"> regulates the protection and conservation of places of heritage significance listed on the Victorian Heritage Register and archaeological sites and relics</w:t>
      </w:r>
      <w:r w:rsidR="00C66044">
        <w:t xml:space="preserve"> </w:t>
      </w:r>
      <w:r>
        <w:t xml:space="preserve">listed on the Victorian Heritage Inventory. The impact assessment for Historical Cultural Heritage is contained within </w:t>
      </w:r>
      <w:r w:rsidR="008C0604">
        <w:t xml:space="preserve">Technical </w:t>
      </w:r>
      <w:r>
        <w:t xml:space="preserve">Appendix J. </w:t>
      </w:r>
    </w:p>
    <w:p w14:paraId="3C6BC250" w14:textId="29C6F9DD" w:rsidR="00B15C6B" w:rsidRDefault="00B15C6B" w:rsidP="00B15C6B">
      <w:pPr>
        <w:pStyle w:val="BodyText"/>
      </w:pPr>
      <w:r>
        <w:t xml:space="preserve">Under the </w:t>
      </w:r>
      <w:r w:rsidRPr="009F5C8D">
        <w:rPr>
          <w:rStyle w:val="CharacterStyle-Italic"/>
        </w:rPr>
        <w:t>Heritage Act 1995</w:t>
      </w:r>
      <w:r>
        <w:t xml:space="preserve">, MMRA would seek permits </w:t>
      </w:r>
      <w:r w:rsidR="00A551B0">
        <w:t xml:space="preserve">for places on the Victorian Heritage Register under </w:t>
      </w:r>
      <w:r w:rsidR="00CC402F">
        <w:t>Section</w:t>
      </w:r>
      <w:r w:rsidR="00A551B0">
        <w:t xml:space="preserve"> 74 of the Act, and seek consents for places on the Victorian Heritage Inventory under </w:t>
      </w:r>
      <w:r w:rsidR="00CC402F">
        <w:t>Section</w:t>
      </w:r>
      <w:r w:rsidR="00A551B0">
        <w:t xml:space="preserve"> 129 of the Act</w:t>
      </w:r>
      <w:r>
        <w:t xml:space="preserve">. Working closely with Heritage Victoria, MMRA would seek permits </w:t>
      </w:r>
      <w:r w:rsidR="00BB4872">
        <w:t xml:space="preserve">and consents </w:t>
      </w:r>
      <w:r>
        <w:t>as soon as possible following the Minister for Planning’s EES Assessment</w:t>
      </w:r>
      <w:r w:rsidR="00C7407C">
        <w:t xml:space="preserve"> to appropriately manage potential impacts on heritage or archaeological values. </w:t>
      </w:r>
    </w:p>
    <w:p w14:paraId="73200DB6" w14:textId="425EE387" w:rsidR="00B15C6B" w:rsidRDefault="00D110D2" w:rsidP="00343894">
      <w:pPr>
        <w:pStyle w:val="Heading2"/>
      </w:pPr>
      <w:bookmarkStart w:id="11" w:name="_Toc446339745"/>
      <w:bookmarkStart w:id="12" w:name="_Toc446339770"/>
      <w:bookmarkStart w:id="13" w:name="_Toc446503967"/>
      <w:bookmarkStart w:id="14" w:name="_Toc446504024"/>
      <w:bookmarkStart w:id="15" w:name="_Toc446339746"/>
      <w:bookmarkStart w:id="16" w:name="_Toc446339771"/>
      <w:bookmarkStart w:id="17" w:name="_Toc446503968"/>
      <w:bookmarkStart w:id="18" w:name="_Toc446504025"/>
      <w:bookmarkStart w:id="19" w:name="_Toc446339747"/>
      <w:bookmarkStart w:id="20" w:name="_Toc446339772"/>
      <w:bookmarkStart w:id="21" w:name="_Toc446503969"/>
      <w:bookmarkStart w:id="22" w:name="_Toc446504026"/>
      <w:bookmarkStart w:id="23" w:name="_Toc446339748"/>
      <w:bookmarkStart w:id="24" w:name="_Toc446339773"/>
      <w:bookmarkStart w:id="25" w:name="_Toc446503970"/>
      <w:bookmarkStart w:id="26" w:name="_Toc446504027"/>
      <w:bookmarkStart w:id="27" w:name="_Toc446339749"/>
      <w:bookmarkStart w:id="28" w:name="_Toc446339774"/>
      <w:bookmarkStart w:id="29" w:name="_Toc446503971"/>
      <w:bookmarkStart w:id="30" w:name="_Toc446504028"/>
      <w:bookmarkStart w:id="31" w:name="_Toc446339750"/>
      <w:bookmarkStart w:id="32" w:name="_Toc446339775"/>
      <w:bookmarkStart w:id="33" w:name="_Toc446503972"/>
      <w:bookmarkStart w:id="34" w:name="_Toc446504029"/>
      <w:bookmarkStart w:id="35" w:name="_Toc446339751"/>
      <w:bookmarkStart w:id="36" w:name="_Toc446339776"/>
      <w:bookmarkStart w:id="37" w:name="_Toc446503973"/>
      <w:bookmarkStart w:id="38" w:name="_Toc446504030"/>
      <w:bookmarkStart w:id="39" w:name="_Toc446339752"/>
      <w:bookmarkStart w:id="40" w:name="_Toc446339777"/>
      <w:bookmarkStart w:id="41" w:name="_Toc446503974"/>
      <w:bookmarkStart w:id="42" w:name="_Toc446504031"/>
      <w:bookmarkStart w:id="43" w:name="_Toc446339753"/>
      <w:bookmarkStart w:id="44" w:name="_Toc446339778"/>
      <w:bookmarkStart w:id="45" w:name="_Toc446503975"/>
      <w:bookmarkStart w:id="46" w:name="_Toc446504032"/>
      <w:bookmarkStart w:id="47" w:name="_Toc44988633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 xml:space="preserve">Secondary </w:t>
      </w:r>
      <w:r w:rsidR="009F5C8D">
        <w:t>Approvals</w:t>
      </w:r>
      <w:r w:rsidR="001D2986">
        <w:t xml:space="preserve"> and</w:t>
      </w:r>
      <w:r w:rsidR="005038C3">
        <w:t> </w:t>
      </w:r>
      <w:r w:rsidR="001D2986">
        <w:t>Compliance</w:t>
      </w:r>
      <w:bookmarkEnd w:id="47"/>
    </w:p>
    <w:p w14:paraId="2FBB0205" w14:textId="77777777" w:rsidR="00B15C6B" w:rsidRPr="00C66044" w:rsidRDefault="00B15C6B" w:rsidP="00343894">
      <w:pPr>
        <w:pStyle w:val="Heading3"/>
      </w:pPr>
      <w:r w:rsidRPr="00C66044">
        <w:t>Crown Land (Reserves) Act 1978</w:t>
      </w:r>
    </w:p>
    <w:p w14:paraId="3449456C" w14:textId="596D0025" w:rsidR="00682BEB" w:rsidRPr="00D67C50" w:rsidRDefault="00B15C6B" w:rsidP="007A29AB">
      <w:pPr>
        <w:pStyle w:val="BodyText"/>
      </w:pPr>
      <w:r w:rsidRPr="007A29AB">
        <w:t xml:space="preserve">The </w:t>
      </w:r>
      <w:r w:rsidRPr="007A29AB">
        <w:rPr>
          <w:rStyle w:val="CharacterStyle-Italic"/>
        </w:rPr>
        <w:t>Crown Land (Reserves) Act 1978</w:t>
      </w:r>
      <w:r w:rsidRPr="007A29AB">
        <w:t xml:space="preserve"> provides for the reservation</w:t>
      </w:r>
      <w:r w:rsidR="0058494E" w:rsidRPr="007A29AB">
        <w:t xml:space="preserve"> </w:t>
      </w:r>
      <w:r w:rsidRPr="007A29AB">
        <w:t>of Crown Land for certain purposes</w:t>
      </w:r>
      <w:r w:rsidR="00682BEB" w:rsidRPr="00E52F2C">
        <w:t xml:space="preserve"> by the Governor in Council</w:t>
      </w:r>
      <w:r w:rsidR="00B84011">
        <w:t xml:space="preserve"> and sets out </w:t>
      </w:r>
      <w:r w:rsidRPr="00E52F2C">
        <w:t xml:space="preserve">the </w:t>
      </w:r>
      <w:r w:rsidR="00682BEB" w:rsidRPr="00E52F2C">
        <w:t xml:space="preserve">administrative and legal framework for </w:t>
      </w:r>
      <w:r w:rsidRPr="00E3260A">
        <w:t>manag</w:t>
      </w:r>
      <w:r w:rsidR="00682BEB" w:rsidRPr="00E3260A">
        <w:t>ing</w:t>
      </w:r>
      <w:r w:rsidRPr="00E3260A">
        <w:t xml:space="preserve"> reserved </w:t>
      </w:r>
      <w:r w:rsidR="00682BEB" w:rsidRPr="00E3260A">
        <w:t xml:space="preserve">Crown </w:t>
      </w:r>
      <w:r w:rsidRPr="00E3260A">
        <w:t>land</w:t>
      </w:r>
      <w:r w:rsidR="00682BEB" w:rsidRPr="00E3260A">
        <w:t xml:space="preserve"> and the processes for revoking Crown land</w:t>
      </w:r>
      <w:r w:rsidRPr="00E3260A">
        <w:t xml:space="preserve">. </w:t>
      </w:r>
      <w:r w:rsidR="00682BEB" w:rsidRPr="00E3260A">
        <w:t>Crown land can be reser</w:t>
      </w:r>
      <w:r w:rsidR="00682BEB" w:rsidRPr="00D67C50">
        <w:t>ved</w:t>
      </w:r>
      <w:r w:rsidRPr="00D67C50">
        <w:t xml:space="preserve"> for a range of public purposes, </w:t>
      </w:r>
      <w:r w:rsidR="00682BEB" w:rsidRPr="00D67C50">
        <w:t>including public parks and gardens, the bed</w:t>
      </w:r>
      <w:r w:rsidR="00B84011">
        <w:t>s</w:t>
      </w:r>
      <w:r w:rsidR="00682BEB" w:rsidRPr="00D67C50">
        <w:t xml:space="preserve"> and bank</w:t>
      </w:r>
      <w:r w:rsidR="00B84011">
        <w:t>s</w:t>
      </w:r>
      <w:r w:rsidR="00682BEB" w:rsidRPr="00D67C50">
        <w:t xml:space="preserve"> of waterways and railways.</w:t>
      </w:r>
    </w:p>
    <w:p w14:paraId="79F8FE46" w14:textId="4C9E6128" w:rsidR="00B15C6B" w:rsidRPr="007A29AB" w:rsidRDefault="007A29AB" w:rsidP="005038C3">
      <w:pPr>
        <w:pStyle w:val="BodyText"/>
        <w:ind w:right="-227"/>
      </w:pPr>
      <w:r>
        <w:t xml:space="preserve">Melbourne Metro </w:t>
      </w:r>
      <w:r w:rsidR="00B15C6B" w:rsidRPr="007A29AB">
        <w:t xml:space="preserve">affects reserved </w:t>
      </w:r>
      <w:r w:rsidR="00682BEB" w:rsidRPr="007A29AB">
        <w:t>C</w:t>
      </w:r>
      <w:r w:rsidR="00B15C6B" w:rsidRPr="007A29AB">
        <w:t xml:space="preserve">rown land such as the Domain Parklands and the Shrine of Remembrance Reserve. </w:t>
      </w:r>
      <w:r w:rsidR="00247E76" w:rsidRPr="007A29AB">
        <w:t>A</w:t>
      </w:r>
      <w:r w:rsidR="00B15C6B" w:rsidRPr="007A29AB">
        <w:t xml:space="preserve">pproval is required from the </w:t>
      </w:r>
      <w:r w:rsidR="00247E76" w:rsidRPr="007A29AB">
        <w:t xml:space="preserve">Minister for Environment or the relevant </w:t>
      </w:r>
      <w:r w:rsidR="00B15C6B" w:rsidRPr="007A29AB">
        <w:t xml:space="preserve">Committee of Management to use and occupy land prior to </w:t>
      </w:r>
      <w:r w:rsidR="00247E76" w:rsidRPr="007A29AB">
        <w:t xml:space="preserve">designation of the Project Area. However, once reserved Crown land has been surrendered, divested or acquired under </w:t>
      </w:r>
      <w:r w:rsidR="00B15C6B" w:rsidRPr="007A29AB">
        <w:t xml:space="preserve">the </w:t>
      </w:r>
      <w:r w:rsidR="00B15C6B" w:rsidRPr="007A29AB">
        <w:rPr>
          <w:rStyle w:val="CharacterStyle-Italic"/>
        </w:rPr>
        <w:t>Major Transport Projects Facilitation Act 2009</w:t>
      </w:r>
      <w:r w:rsidR="00247E76" w:rsidRPr="007A29AB">
        <w:rPr>
          <w:rStyle w:val="CharacterStyle-Italic"/>
          <w:i w:val="0"/>
        </w:rPr>
        <w:t xml:space="preserve">, the land becomes </w:t>
      </w:r>
      <w:proofErr w:type="spellStart"/>
      <w:r w:rsidR="00247E76" w:rsidRPr="007A29AB">
        <w:rPr>
          <w:rStyle w:val="CharacterStyle-Italic"/>
          <w:i w:val="0"/>
        </w:rPr>
        <w:t>unalienated</w:t>
      </w:r>
      <w:proofErr w:type="spellEnd"/>
      <w:r w:rsidR="00247E76" w:rsidRPr="007A29AB">
        <w:rPr>
          <w:rStyle w:val="CharacterStyle-Italic"/>
          <w:i w:val="0"/>
        </w:rPr>
        <w:t xml:space="preserve"> and freed from the reservation</w:t>
      </w:r>
      <w:r w:rsidR="00B15C6B" w:rsidRPr="007A29AB">
        <w:t>.</w:t>
      </w:r>
    </w:p>
    <w:p w14:paraId="603FAC8D" w14:textId="77777777" w:rsidR="001D2986" w:rsidRPr="00C66044" w:rsidRDefault="001D2986" w:rsidP="00B84011">
      <w:pPr>
        <w:pStyle w:val="Heading3"/>
        <w:keepNext w:val="0"/>
        <w:keepLines w:val="0"/>
        <w:widowControl w:val="0"/>
      </w:pPr>
      <w:r w:rsidRPr="00C66044">
        <w:t xml:space="preserve">Environment Protection Act 1970 </w:t>
      </w:r>
    </w:p>
    <w:p w14:paraId="0D153865" w14:textId="77777777" w:rsidR="00C66044" w:rsidRDefault="001D2986" w:rsidP="00B84011">
      <w:pPr>
        <w:pStyle w:val="BodyText"/>
        <w:keepLines w:val="0"/>
        <w:widowControl w:val="0"/>
      </w:pPr>
      <w:r>
        <w:t xml:space="preserve">The </w:t>
      </w:r>
      <w:r w:rsidRPr="009F5C8D">
        <w:rPr>
          <w:rStyle w:val="CharacterStyle-Italic"/>
        </w:rPr>
        <w:t>Environment Protection Act 1970</w:t>
      </w:r>
      <w:r>
        <w:t xml:space="preserve"> establishes the legislative framework for protecting the environment in Victoria, having regard to the principles of environment protection as set out in the Act. </w:t>
      </w:r>
    </w:p>
    <w:p w14:paraId="05CB976F" w14:textId="317F14BF" w:rsidR="001D2986" w:rsidRDefault="001D2986" w:rsidP="001D2986">
      <w:pPr>
        <w:pStyle w:val="BodyText"/>
      </w:pPr>
      <w:r>
        <w:lastRenderedPageBreak/>
        <w:t xml:space="preserve">A number of State Environment Protection Policies (SEPPs) have been prepared under this Act, which typically set standards, guidelines and environmental quality objectives and indicators to protect the beneficial uses of specific environmental media. These include noise (noting that operational rail noise is covered by the Victorian </w:t>
      </w:r>
      <w:r w:rsidRPr="00C13E96">
        <w:rPr>
          <w:i/>
        </w:rPr>
        <w:t>Passenger Rail Infrastructure Noise Policy</w:t>
      </w:r>
      <w:r>
        <w:t>, April 2013), surface and ground water, land contamination and air quality. SEPPs aim to preserve environmental values and maintain a safe physical environment</w:t>
      </w:r>
      <w:r w:rsidR="00B84011">
        <w:t xml:space="preserve"> in which Victorians can live</w:t>
      </w:r>
      <w:r>
        <w:t>.</w:t>
      </w:r>
    </w:p>
    <w:p w14:paraId="4C7C6A3C" w14:textId="77777777" w:rsidR="00C66044" w:rsidRDefault="001D2986" w:rsidP="001D2986">
      <w:pPr>
        <w:pStyle w:val="BodyText"/>
      </w:pPr>
      <w:r>
        <w:t xml:space="preserve">The Act also provides that works approvals and waste discharge licences are required for certain activities. No works approval or licence is required for Melbourne Metro; however, the delivery of the project must comply with appropriate regulations, SEPPs and guidelines under the Act where they apply to works and other project activities. </w:t>
      </w:r>
    </w:p>
    <w:p w14:paraId="6E7D3A9D" w14:textId="2FA85538" w:rsidR="001D2986" w:rsidRDefault="001D2986" w:rsidP="001D2986">
      <w:pPr>
        <w:pStyle w:val="BodyText"/>
      </w:pPr>
      <w:r>
        <w:t xml:space="preserve">Other project activities include the management and disposal of groundwater and the storage and transport of acid </w:t>
      </w:r>
      <w:proofErr w:type="spellStart"/>
      <w:r>
        <w:t>sulfate</w:t>
      </w:r>
      <w:proofErr w:type="spellEnd"/>
      <w:r>
        <w:t xml:space="preserve"> soils. These are addressed in the </w:t>
      </w:r>
      <w:r w:rsidR="00C13E96">
        <w:t>recommended</w:t>
      </w:r>
      <w:r>
        <w:t xml:space="preserve"> Environmental Performance Requ</w:t>
      </w:r>
      <w:r w:rsidR="00C13E96">
        <w:t>irements</w:t>
      </w:r>
      <w:r w:rsidR="00B84011">
        <w:t xml:space="preserve"> provided</w:t>
      </w:r>
      <w:r w:rsidR="00C13E96">
        <w:t xml:space="preserve"> in Chapter 23</w:t>
      </w:r>
      <w:r>
        <w:t xml:space="preserve"> </w:t>
      </w:r>
      <w:r w:rsidRPr="007200C4">
        <w:rPr>
          <w:i/>
        </w:rPr>
        <w:t>Environmental Management Framework</w:t>
      </w:r>
      <w:r>
        <w:t>.</w:t>
      </w:r>
    </w:p>
    <w:p w14:paraId="553E8934" w14:textId="77777777" w:rsidR="00B15C6B" w:rsidRPr="00C66044" w:rsidRDefault="00B15C6B" w:rsidP="00343894">
      <w:pPr>
        <w:pStyle w:val="Heading3"/>
      </w:pPr>
      <w:r w:rsidRPr="00C66044">
        <w:t>Land Act 1958</w:t>
      </w:r>
    </w:p>
    <w:p w14:paraId="5B226695" w14:textId="77777777" w:rsidR="00E3260A" w:rsidRDefault="00B15C6B" w:rsidP="00E3260A">
      <w:pPr>
        <w:pStyle w:val="BodyText"/>
        <w:rPr>
          <w:i/>
        </w:rPr>
      </w:pPr>
      <w:r>
        <w:t xml:space="preserve">The </w:t>
      </w:r>
      <w:r w:rsidRPr="009F5C8D">
        <w:rPr>
          <w:rStyle w:val="CharacterStyle-Italic"/>
        </w:rPr>
        <w:t>Land Act 1958</w:t>
      </w:r>
      <w:r>
        <w:t xml:space="preserve"> provides for the management of unreserved Crown land and freehold land. This Act also regulates the grants of interest in, and alienation of, unreserved Crown</w:t>
      </w:r>
      <w:r w:rsidR="00E52F2C">
        <w:t xml:space="preserve"> </w:t>
      </w:r>
      <w:r>
        <w:t xml:space="preserve">land. </w:t>
      </w:r>
      <w:r w:rsidR="00E3260A">
        <w:t xml:space="preserve">This Act would apply to Melbourne Metro where any interest in land acquired for the project becomes Crown land under the </w:t>
      </w:r>
      <w:r w:rsidR="00E3260A" w:rsidRPr="00E3260A">
        <w:rPr>
          <w:i/>
        </w:rPr>
        <w:t>Land Acquisition and Compensation Act 1986</w:t>
      </w:r>
      <w:r w:rsidR="00E3260A">
        <w:rPr>
          <w:i/>
        </w:rPr>
        <w:t>.</w:t>
      </w:r>
    </w:p>
    <w:p w14:paraId="51C64209" w14:textId="77777777" w:rsidR="00B15C6B" w:rsidRPr="00C66044" w:rsidRDefault="00B15C6B" w:rsidP="00343894">
      <w:pPr>
        <w:pStyle w:val="Heading3"/>
      </w:pPr>
      <w:r w:rsidRPr="00C66044">
        <w:t xml:space="preserve">Road Management Act 2004 </w:t>
      </w:r>
    </w:p>
    <w:p w14:paraId="3DE0404A" w14:textId="77777777" w:rsidR="00B15C6B" w:rsidRDefault="00B15C6B" w:rsidP="00B15C6B">
      <w:pPr>
        <w:pStyle w:val="BodyText"/>
      </w:pPr>
      <w:r>
        <w:t xml:space="preserve">The </w:t>
      </w:r>
      <w:r w:rsidRPr="009F5C8D">
        <w:rPr>
          <w:rStyle w:val="CharacterStyle-Italic"/>
        </w:rPr>
        <w:t>Road Management Act 2004</w:t>
      </w:r>
      <w:r>
        <w:t xml:space="preserve"> provides the statutory framework for VicRoads and local government to manage the Victorian road network and the coordination of road reserves for roadways, pathways, infrastructure and similar purposes. A road includes the reserve from boundary line to boundary line. </w:t>
      </w:r>
    </w:p>
    <w:p w14:paraId="5F0F3BBC" w14:textId="77777777" w:rsidR="00B15C6B" w:rsidRDefault="00B15C6B" w:rsidP="00B15C6B">
      <w:pPr>
        <w:pStyle w:val="BodyText"/>
      </w:pPr>
      <w:r>
        <w:t>While the Minister for Roads and Road Safety is responsible for administering the Act, VicRoads is responsible for the management of roads within the Road Zone, Category 1 (this includes St. Kilda Road, Royal Parade</w:t>
      </w:r>
      <w:r w:rsidR="00E52F2C">
        <w:t> </w:t>
      </w:r>
      <w:r>
        <w:t>/</w:t>
      </w:r>
      <w:r w:rsidR="00E52F2C">
        <w:t> </w:t>
      </w:r>
      <w:r>
        <w:t xml:space="preserve">Elizabeth Street and Arden Street), while local councils are responsible for all other roads. Consent may be required under the </w:t>
      </w:r>
      <w:r w:rsidRPr="00E1179F">
        <w:rPr>
          <w:rStyle w:val="CharacterStyle-Italic"/>
        </w:rPr>
        <w:t>Road Management Act 2004</w:t>
      </w:r>
      <w:r>
        <w:t xml:space="preserve"> for works on, in or under any road.</w:t>
      </w:r>
      <w:r w:rsidR="00CC402F">
        <w:t xml:space="preserve"> </w:t>
      </w:r>
    </w:p>
    <w:p w14:paraId="667387DE" w14:textId="77777777" w:rsidR="00B15C6B" w:rsidRPr="00C66044" w:rsidRDefault="00B15C6B" w:rsidP="00343894">
      <w:pPr>
        <w:pStyle w:val="Heading3"/>
      </w:pPr>
      <w:r w:rsidRPr="00C66044">
        <w:t>Water Act 1989</w:t>
      </w:r>
    </w:p>
    <w:p w14:paraId="7930310D" w14:textId="77777777" w:rsidR="00B15C6B" w:rsidRDefault="00B15C6B" w:rsidP="00B15C6B">
      <w:pPr>
        <w:pStyle w:val="BodyText"/>
      </w:pPr>
      <w:r>
        <w:t xml:space="preserve">The </w:t>
      </w:r>
      <w:r w:rsidRPr="00E1179F">
        <w:rPr>
          <w:rStyle w:val="CharacterStyle-Italic"/>
        </w:rPr>
        <w:t>Water Act 1989</w:t>
      </w:r>
      <w:r>
        <w:t xml:space="preserve"> promotes the orderly, equitable and efficient use of water resources to make sure that water resources are conserved and properly managed for sustainable use for the benefit of present and future Victorians. The Act regulates the impacts on and use of surface water and groundwater. </w:t>
      </w:r>
    </w:p>
    <w:p w14:paraId="48D6C505" w14:textId="77777777" w:rsidR="00247E76" w:rsidRDefault="003E3D65" w:rsidP="00B15C6B">
      <w:pPr>
        <w:pStyle w:val="BodyText"/>
      </w:pPr>
      <w:r>
        <w:lastRenderedPageBreak/>
        <w:t>Melbourne Metro</w:t>
      </w:r>
      <w:r w:rsidR="00B15C6B">
        <w:t xml:space="preserve"> would require</w:t>
      </w:r>
      <w:r w:rsidR="00247E76">
        <w:t xml:space="preserve"> the following approvals under this Act:</w:t>
      </w:r>
    </w:p>
    <w:p w14:paraId="7251300C" w14:textId="77777777" w:rsidR="00247E76" w:rsidRPr="00E3260A" w:rsidRDefault="00E52F2C" w:rsidP="00E52F2C">
      <w:pPr>
        <w:pStyle w:val="BodyBullet1"/>
      </w:pPr>
      <w:r>
        <w:t>A</w:t>
      </w:r>
      <w:r w:rsidR="00B15C6B" w:rsidRPr="00E52F2C">
        <w:t xml:space="preserve"> licence to construct, alter, operate or decommission works on, over or under the Yarra River and Moo</w:t>
      </w:r>
      <w:r w:rsidR="00B15C6B" w:rsidRPr="00E3260A">
        <w:t>nee Ponds Creek (from Melbourne Water)</w:t>
      </w:r>
    </w:p>
    <w:p w14:paraId="2FAD3765" w14:textId="77777777" w:rsidR="00247E76" w:rsidRPr="00E52F2C" w:rsidRDefault="00E52F2C" w:rsidP="00E52F2C">
      <w:pPr>
        <w:pStyle w:val="BodyBullet1"/>
      </w:pPr>
      <w:r>
        <w:t>A</w:t>
      </w:r>
      <w:r w:rsidR="00247E76" w:rsidRPr="00E52F2C">
        <w:t xml:space="preserve"> </w:t>
      </w:r>
      <w:r w:rsidR="000368F3" w:rsidRPr="00E52F2C">
        <w:t>licence</w:t>
      </w:r>
      <w:r w:rsidR="00247E76" w:rsidRPr="00E52F2C">
        <w:t xml:space="preserve"> to construct a groundwater bore (from Southern Rural Water)</w:t>
      </w:r>
    </w:p>
    <w:p w14:paraId="2332DB0F" w14:textId="77777777" w:rsidR="000368F3" w:rsidRPr="00E52F2C" w:rsidRDefault="00E52F2C" w:rsidP="00E52F2C">
      <w:pPr>
        <w:pStyle w:val="BodyBullet1"/>
      </w:pPr>
      <w:r>
        <w:t>A</w:t>
      </w:r>
      <w:r w:rsidR="00247E76" w:rsidRPr="00E52F2C">
        <w:t xml:space="preserve"> licence</w:t>
      </w:r>
      <w:r w:rsidR="00B15C6B" w:rsidRPr="00E52F2C">
        <w:t xml:space="preserve"> to extract groundwater for construction purposes (from Southern Rural Water)</w:t>
      </w:r>
    </w:p>
    <w:p w14:paraId="710A9F38" w14:textId="36FAF4E0" w:rsidR="00B15C6B" w:rsidRPr="00E3260A" w:rsidRDefault="00E52F2C" w:rsidP="00E52F2C">
      <w:pPr>
        <w:pStyle w:val="BodyBullet1"/>
      </w:pPr>
      <w:r>
        <w:rPr>
          <w:rStyle w:val="CharacterStyle-Highlight"/>
          <w:shd w:val="clear" w:color="auto" w:fill="auto"/>
        </w:rPr>
        <w:t>I</w:t>
      </w:r>
      <w:r w:rsidR="000368F3" w:rsidRPr="00E52F2C">
        <w:rPr>
          <w:rStyle w:val="CharacterStyle-Highlight"/>
          <w:shd w:val="clear" w:color="auto" w:fill="auto"/>
        </w:rPr>
        <w:t>f groundwater recharge bores are required, a</w:t>
      </w:r>
      <w:r w:rsidR="003C325B" w:rsidRPr="00E52F2C">
        <w:rPr>
          <w:rStyle w:val="CharacterStyle-Highlight"/>
          <w:shd w:val="clear" w:color="auto" w:fill="auto"/>
        </w:rPr>
        <w:t xml:space="preserve">n approval from the Minister for Environment under </w:t>
      </w:r>
      <w:r w:rsidR="00CC402F">
        <w:rPr>
          <w:rStyle w:val="CharacterStyle-Highlight"/>
          <w:shd w:val="clear" w:color="auto" w:fill="auto"/>
        </w:rPr>
        <w:t>Section</w:t>
      </w:r>
      <w:r w:rsidR="003C325B" w:rsidRPr="00E3260A">
        <w:rPr>
          <w:rStyle w:val="CharacterStyle-Highlight"/>
          <w:shd w:val="clear" w:color="auto" w:fill="auto"/>
        </w:rPr>
        <w:t xml:space="preserve"> 76 of the</w:t>
      </w:r>
      <w:r w:rsidR="00CC100C" w:rsidRPr="00E3260A">
        <w:rPr>
          <w:rStyle w:val="CharacterStyle-Highlight"/>
          <w:shd w:val="clear" w:color="auto" w:fill="auto"/>
        </w:rPr>
        <w:t xml:space="preserve"> </w:t>
      </w:r>
      <w:r w:rsidR="003C325B" w:rsidRPr="00E3260A">
        <w:rPr>
          <w:rStyle w:val="CharacterStyle-Highlight"/>
          <w:shd w:val="clear" w:color="auto" w:fill="auto"/>
        </w:rPr>
        <w:t>Act</w:t>
      </w:r>
      <w:r w:rsidR="00CC100C" w:rsidRPr="00E3260A">
        <w:rPr>
          <w:rStyle w:val="CharacterStyle-Highlight"/>
          <w:shd w:val="clear" w:color="auto" w:fill="auto"/>
        </w:rPr>
        <w:t>.</w:t>
      </w:r>
    </w:p>
    <w:p w14:paraId="3F8B2034" w14:textId="316540F3" w:rsidR="00B15C6B" w:rsidRPr="00C66044" w:rsidRDefault="00B15C6B" w:rsidP="00343894">
      <w:pPr>
        <w:pStyle w:val="Heading3"/>
      </w:pPr>
      <w:r w:rsidRPr="00C66044">
        <w:t>F</w:t>
      </w:r>
      <w:r w:rsidR="00C13E96" w:rsidRPr="00C66044">
        <w:t>lora and Fauna Guarantee Act 198</w:t>
      </w:r>
      <w:r w:rsidRPr="00C66044">
        <w:t>8</w:t>
      </w:r>
    </w:p>
    <w:p w14:paraId="575F4447" w14:textId="5DEF06E1" w:rsidR="00B15C6B" w:rsidRDefault="00B15C6B" w:rsidP="009A1CBD">
      <w:pPr>
        <w:pStyle w:val="BodyText"/>
      </w:pPr>
      <w:r>
        <w:t xml:space="preserve">The </w:t>
      </w:r>
      <w:r w:rsidRPr="00E1179F">
        <w:rPr>
          <w:rStyle w:val="CharacterStyle-Italic"/>
        </w:rPr>
        <w:t>F</w:t>
      </w:r>
      <w:r w:rsidR="00C13E96">
        <w:rPr>
          <w:rStyle w:val="CharacterStyle-Italic"/>
        </w:rPr>
        <w:t>lora and Fauna Guarantee Act 198</w:t>
      </w:r>
      <w:r w:rsidRPr="00E1179F">
        <w:rPr>
          <w:rStyle w:val="CharacterStyle-Italic"/>
        </w:rPr>
        <w:t>8</w:t>
      </w:r>
      <w:r>
        <w:t xml:space="preserve"> </w:t>
      </w:r>
      <w:proofErr w:type="gramStart"/>
      <w:r>
        <w:t>provides</w:t>
      </w:r>
      <w:proofErr w:type="gramEnd"/>
      <w:r>
        <w:t xml:space="preserve"> a framework for biodiversity conservation in Victoria. The Act provides for the listing of threatened species, communities of flora and fauna and potentially threatening processes. A number of non-threatened flora species are also listed as protected under the Act.</w:t>
      </w:r>
    </w:p>
    <w:p w14:paraId="7CCB4C61" w14:textId="77777777" w:rsidR="00B15C6B" w:rsidRDefault="00B15C6B" w:rsidP="00B15C6B">
      <w:pPr>
        <w:pStyle w:val="BodyText"/>
      </w:pPr>
      <w:r>
        <w:t xml:space="preserve">A </w:t>
      </w:r>
      <w:r w:rsidR="000368F3">
        <w:t>p</w:t>
      </w:r>
      <w:r>
        <w:t xml:space="preserve">ermit is required to </w:t>
      </w:r>
      <w:r w:rsidR="000368F3">
        <w:t>take</w:t>
      </w:r>
      <w:r>
        <w:t xml:space="preserve"> species </w:t>
      </w:r>
      <w:r w:rsidR="000368F3">
        <w:t xml:space="preserve">protected </w:t>
      </w:r>
      <w:r>
        <w:t xml:space="preserve">under the </w:t>
      </w:r>
      <w:r w:rsidR="000368F3">
        <w:t xml:space="preserve">Act from public land </w:t>
      </w:r>
      <w:r w:rsidR="00E52F2C">
        <w:t>(</w:t>
      </w:r>
      <w:r w:rsidR="000368F3">
        <w:t xml:space="preserve">and may also be required </w:t>
      </w:r>
      <w:r w:rsidR="00E52F2C">
        <w:t xml:space="preserve">to remove protected species </w:t>
      </w:r>
      <w:r w:rsidR="000368F3">
        <w:t>from private land in certain circumstances</w:t>
      </w:r>
      <w:r w:rsidR="00E52F2C">
        <w:t>)</w:t>
      </w:r>
      <w:r>
        <w:t xml:space="preserve">. However, no threatened or protected </w:t>
      </w:r>
      <w:proofErr w:type="gramStart"/>
      <w:r>
        <w:t>flora have</w:t>
      </w:r>
      <w:proofErr w:type="gramEnd"/>
      <w:r>
        <w:t xml:space="preserve"> been identified within the </w:t>
      </w:r>
      <w:r w:rsidR="00171675">
        <w:t xml:space="preserve">Melbourne Metro </w:t>
      </w:r>
      <w:r>
        <w:t>study area</w:t>
      </w:r>
      <w:r w:rsidR="000368F3">
        <w:t>,</w:t>
      </w:r>
      <w:r>
        <w:t xml:space="preserve"> so a </w:t>
      </w:r>
      <w:r w:rsidR="000368F3">
        <w:t>p</w:t>
      </w:r>
      <w:r>
        <w:t xml:space="preserve">ermit </w:t>
      </w:r>
      <w:r w:rsidR="00E52F2C">
        <w:t xml:space="preserve">under the Act would </w:t>
      </w:r>
      <w:r w:rsidR="000368F3">
        <w:t>probably</w:t>
      </w:r>
      <w:r>
        <w:t xml:space="preserve"> not be required.</w:t>
      </w:r>
    </w:p>
    <w:p w14:paraId="1E3E175B" w14:textId="77777777" w:rsidR="00B15C6B" w:rsidRPr="00C66044" w:rsidRDefault="00B15C6B" w:rsidP="00343894">
      <w:pPr>
        <w:pStyle w:val="Heading3"/>
      </w:pPr>
      <w:r w:rsidRPr="00C66044">
        <w:t>Wildlife Act 1975</w:t>
      </w:r>
    </w:p>
    <w:p w14:paraId="4F12CA1C" w14:textId="77777777" w:rsidR="00B15C6B" w:rsidRDefault="00B15C6B" w:rsidP="00B15C6B">
      <w:pPr>
        <w:pStyle w:val="BodyText"/>
      </w:pPr>
      <w:r>
        <w:t xml:space="preserve">The </w:t>
      </w:r>
      <w:r w:rsidRPr="00E1179F">
        <w:rPr>
          <w:rStyle w:val="CharacterStyle-Italic"/>
        </w:rPr>
        <w:t xml:space="preserve">Wildlife Act 1975 </w:t>
      </w:r>
      <w:r>
        <w:t>establishes procedures for the protection and conservation of wildlife, the prevention of wildlife becoming extinct and the sustainable use of and access to wildlife. It also includes procedures to prohibit and regulate the conduct of persons engaged in activities concerning wildlife.</w:t>
      </w:r>
    </w:p>
    <w:p w14:paraId="1EE07C06" w14:textId="68D5C9CE" w:rsidR="00B15C6B" w:rsidRDefault="00B15C6B" w:rsidP="00B15C6B">
      <w:pPr>
        <w:pStyle w:val="BodyText"/>
      </w:pPr>
      <w:r>
        <w:t xml:space="preserve">Given the very small amount of habitat that would be impacted by </w:t>
      </w:r>
      <w:r w:rsidR="00171675">
        <w:t>Melbourne Metro</w:t>
      </w:r>
      <w:r>
        <w:t xml:space="preserve">, no permits for the loss of wildlife or wildlife habitat would be required for the </w:t>
      </w:r>
      <w:r w:rsidR="00343894">
        <w:t>project</w:t>
      </w:r>
      <w:r>
        <w:t>. However, relevant permits would be required for Environmental Officers and</w:t>
      </w:r>
      <w:r w:rsidR="00E52F2C">
        <w:t> </w:t>
      </w:r>
      <w:r>
        <w:t>/</w:t>
      </w:r>
      <w:r w:rsidR="00E52F2C">
        <w:t> </w:t>
      </w:r>
      <w:r>
        <w:t>or Wildlife Handlers responsible for pre-clearance surveys prior to vegetation removal.</w:t>
      </w:r>
    </w:p>
    <w:p w14:paraId="2502C294" w14:textId="1194624F" w:rsidR="00B15C6B" w:rsidRPr="00C66044" w:rsidRDefault="00B15C6B" w:rsidP="00343894">
      <w:pPr>
        <w:pStyle w:val="Heading3"/>
      </w:pPr>
      <w:r w:rsidRPr="00C66044">
        <w:t>Catchment and Land Protection Act</w:t>
      </w:r>
      <w:r w:rsidR="005038C3">
        <w:t> </w:t>
      </w:r>
      <w:r w:rsidRPr="00C66044">
        <w:t xml:space="preserve">1994 </w:t>
      </w:r>
    </w:p>
    <w:p w14:paraId="75EF7DC8" w14:textId="77777777" w:rsidR="00B15C6B" w:rsidRDefault="00B15C6B" w:rsidP="00CF3E00">
      <w:pPr>
        <w:pStyle w:val="BodyText"/>
      </w:pPr>
      <w:r>
        <w:t xml:space="preserve">The </w:t>
      </w:r>
      <w:r w:rsidRPr="00E1179F">
        <w:rPr>
          <w:rStyle w:val="CharacterStyle-Italic"/>
        </w:rPr>
        <w:t>Catchment and Land Protection Act 1994</w:t>
      </w:r>
      <w:r>
        <w:t xml:space="preserve"> defines requirements to avoid land degradation, conserve soil, protect water resources and eradicate and prevent the spread and establishment of noxious weed and pest animal species. </w:t>
      </w:r>
    </w:p>
    <w:p w14:paraId="7FB94F93" w14:textId="44DF021A" w:rsidR="00B15C6B" w:rsidRDefault="00CF3E00" w:rsidP="00B15C6B">
      <w:pPr>
        <w:pStyle w:val="BodyText"/>
      </w:pPr>
      <w:r>
        <w:lastRenderedPageBreak/>
        <w:t>Whil</w:t>
      </w:r>
      <w:r w:rsidR="00E52F2C">
        <w:t>e</w:t>
      </w:r>
      <w:r>
        <w:t xml:space="preserve"> n</w:t>
      </w:r>
      <w:r w:rsidR="00B15C6B">
        <w:t xml:space="preserve">o major noxious weed infestations were observed at the time of conducting the flora and fauna assessment for </w:t>
      </w:r>
      <w:r w:rsidR="00171675">
        <w:t>Melbourne Metro</w:t>
      </w:r>
      <w:r w:rsidR="00E52F2C">
        <w:t>,</w:t>
      </w:r>
      <w:r>
        <w:t xml:space="preserve"> and the </w:t>
      </w:r>
      <w:r w:rsidR="00171675">
        <w:t>project</w:t>
      </w:r>
      <w:r>
        <w:t xml:space="preserve"> has a low probability of promoting the spread of noxious weeds, </w:t>
      </w:r>
      <w:r w:rsidR="00171675">
        <w:t>management</w:t>
      </w:r>
      <w:r w:rsidR="00B15C6B">
        <w:t xml:space="preserve"> measures would need to be implemented to minimise the prospect of this occurring. These measures would be included in the Construction Environmental Management Plan </w:t>
      </w:r>
      <w:r w:rsidR="00E52F2C">
        <w:t>(</w:t>
      </w:r>
      <w:r w:rsidR="00B84011">
        <w:t>C</w:t>
      </w:r>
      <w:r w:rsidR="00E52F2C">
        <w:t xml:space="preserve">EMP) </w:t>
      </w:r>
      <w:r w:rsidR="00B15C6B">
        <w:t xml:space="preserve">for the </w:t>
      </w:r>
      <w:r w:rsidR="00343894">
        <w:t>project</w:t>
      </w:r>
      <w:r w:rsidR="00B15C6B">
        <w:t xml:space="preserve">. </w:t>
      </w:r>
    </w:p>
    <w:p w14:paraId="032EA63A" w14:textId="77777777" w:rsidR="00B15C6B" w:rsidRPr="00C66044" w:rsidRDefault="00B15C6B" w:rsidP="00343894">
      <w:pPr>
        <w:pStyle w:val="Heading2"/>
      </w:pPr>
      <w:bookmarkStart w:id="48" w:name="_Ref448577648"/>
      <w:bookmarkStart w:id="49" w:name="_Ref448577654"/>
      <w:bookmarkStart w:id="50" w:name="_Toc449886332"/>
      <w:r w:rsidRPr="00C66044">
        <w:t>Major Transport Projects Facilitation Act 2009</w:t>
      </w:r>
      <w:bookmarkEnd w:id="48"/>
      <w:bookmarkEnd w:id="49"/>
      <w:bookmarkEnd w:id="50"/>
    </w:p>
    <w:p w14:paraId="2FABC13C" w14:textId="3A607098" w:rsidR="003718E2" w:rsidRDefault="00343894" w:rsidP="007200C4">
      <w:pPr>
        <w:pStyle w:val="BodyText"/>
      </w:pPr>
      <w:r w:rsidRPr="00343894">
        <w:t>Melbourne Metro</w:t>
      </w:r>
      <w:r w:rsidRPr="00343894" w:rsidDel="00343894">
        <w:t xml:space="preserve"> </w:t>
      </w:r>
      <w:r w:rsidR="00564B7B">
        <w:t xml:space="preserve">was declared by the Premier </w:t>
      </w:r>
      <w:r w:rsidR="00B15C6B">
        <w:t xml:space="preserve">under </w:t>
      </w:r>
      <w:r w:rsidR="00CC402F">
        <w:t>Section</w:t>
      </w:r>
      <w:r w:rsidR="00B15C6B">
        <w:t xml:space="preserve"> 10 of the </w:t>
      </w:r>
      <w:r w:rsidR="00B15C6B" w:rsidRPr="00E1179F">
        <w:rPr>
          <w:rStyle w:val="CharacterStyle-Italic"/>
        </w:rPr>
        <w:t>Major Transport Projects Facilitation Act 2009</w:t>
      </w:r>
      <w:r w:rsidR="00B15C6B">
        <w:t xml:space="preserve"> on 4 September 2015. </w:t>
      </w:r>
      <w:r w:rsidR="00564B7B">
        <w:t>Th</w:t>
      </w:r>
      <w:r w:rsidR="003718E2">
        <w:t xml:space="preserve">e effect of this declaration is that this Act applies to </w:t>
      </w:r>
      <w:r w:rsidRPr="00343894">
        <w:t>Melbourne Metro</w:t>
      </w:r>
      <w:r w:rsidRPr="00343894" w:rsidDel="00343894">
        <w:t xml:space="preserve"> </w:t>
      </w:r>
      <w:r w:rsidR="003718E2">
        <w:t xml:space="preserve">with the exception of </w:t>
      </w:r>
      <w:r w:rsidR="00564B7B">
        <w:t>Part</w:t>
      </w:r>
      <w:r w:rsidR="00E0623C">
        <w:t> </w:t>
      </w:r>
      <w:r w:rsidR="00564B7B">
        <w:t xml:space="preserve">3 (Assessment and approval of major transport projects) </w:t>
      </w:r>
      <w:r w:rsidR="003718E2">
        <w:t>and</w:t>
      </w:r>
      <w:r w:rsidR="00564B7B">
        <w:t xml:space="preserve"> Part 8 (Assessment Committees). </w:t>
      </w:r>
      <w:r w:rsidR="003718E2">
        <w:t xml:space="preserve">This means that if </w:t>
      </w:r>
      <w:r w:rsidRPr="00343894">
        <w:t>Melbourne Metro</w:t>
      </w:r>
      <w:r w:rsidRPr="00343894" w:rsidDel="00343894">
        <w:t xml:space="preserve"> </w:t>
      </w:r>
      <w:r w:rsidR="003718E2">
        <w:t>is granted the principal environmental and planning approvals, the project authority will be able to u</w:t>
      </w:r>
      <w:r w:rsidR="00E52F2C">
        <w:t xml:space="preserve">se </w:t>
      </w:r>
      <w:r w:rsidR="003718E2">
        <w:t xml:space="preserve">the project delivery and utilities interface powers in Parts 6 and 7 of the Act to deliver </w:t>
      </w:r>
      <w:r w:rsidRPr="00343894">
        <w:t>Melbourne Metro</w:t>
      </w:r>
      <w:r w:rsidR="003718E2">
        <w:t xml:space="preserve">. </w:t>
      </w:r>
    </w:p>
    <w:p w14:paraId="6B20DD2F" w14:textId="77777777" w:rsidR="00E8345F" w:rsidRPr="00E8345F" w:rsidRDefault="00B15C6B" w:rsidP="009A1CBD">
      <w:pPr>
        <w:pStyle w:val="BodyText"/>
      </w:pPr>
      <w:r>
        <w:t xml:space="preserve">The Minister for Public Transport was declared to be the Project Minister under </w:t>
      </w:r>
      <w:r w:rsidR="00CC402F">
        <w:t>Section</w:t>
      </w:r>
      <w:r w:rsidR="00D67C50">
        <w:t> </w:t>
      </w:r>
      <w:r>
        <w:t xml:space="preserve">14 of the Act on 4 September 2015. </w:t>
      </w:r>
      <w:r w:rsidR="00E3260A">
        <w:t>In due course, t</w:t>
      </w:r>
      <w:r>
        <w:t>he Minister w</w:t>
      </w:r>
      <w:r w:rsidR="003718E2">
        <w:t>ill</w:t>
      </w:r>
      <w:r>
        <w:t xml:space="preserve"> appoint a project authority under </w:t>
      </w:r>
      <w:r w:rsidR="00CC402F">
        <w:t>Section</w:t>
      </w:r>
      <w:r>
        <w:t xml:space="preserve"> 6 of the Act</w:t>
      </w:r>
      <w:r w:rsidR="00E3260A">
        <w:t>. F</w:t>
      </w:r>
      <w:r w:rsidR="00CC100C">
        <w:t xml:space="preserve">ollowing the Minister for Planning's designation of a </w:t>
      </w:r>
      <w:r w:rsidR="00E3260A">
        <w:t>P</w:t>
      </w:r>
      <w:r w:rsidR="00CC100C">
        <w:t xml:space="preserve">roject </w:t>
      </w:r>
      <w:r w:rsidR="00E3260A">
        <w:t>A</w:t>
      </w:r>
      <w:r w:rsidR="00CC100C">
        <w:t>rea,</w:t>
      </w:r>
      <w:r w:rsidR="003718E2">
        <w:t xml:space="preserve"> </w:t>
      </w:r>
      <w:r w:rsidR="00E3260A">
        <w:t xml:space="preserve">the project authority will be able to </w:t>
      </w:r>
      <w:r w:rsidR="003718E2">
        <w:t>exercise the project deliver</w:t>
      </w:r>
      <w:r w:rsidR="00E3260A">
        <w:t>y</w:t>
      </w:r>
      <w:r w:rsidR="003718E2">
        <w:t xml:space="preserve"> powers described above</w:t>
      </w:r>
      <w:r>
        <w:t>.</w:t>
      </w:r>
    </w:p>
    <w:sectPr w:rsidR="00E8345F" w:rsidRPr="00E8345F" w:rsidSect="00D922C4">
      <w:footerReference w:type="even" r:id="rId13"/>
      <w:footerReference w:type="default" r:id="rId14"/>
      <w:headerReference w:type="first" r:id="rId15"/>
      <w:footerReference w:type="first" r:id="rId16"/>
      <w:footnotePr>
        <w:numFmt w:val="chicago"/>
        <w:numRestart w:val="eachPage"/>
      </w:footnotePr>
      <w:type w:val="oddPage"/>
      <w:pgSz w:w="11906" w:h="16838" w:code="9"/>
      <w:pgMar w:top="1701" w:right="1418" w:bottom="1701" w:left="3289" w:header="567" w:footer="567" w:gutter="0"/>
      <w:pgNumType w:start="1"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09BCB" w14:textId="77777777" w:rsidR="00F9626D" w:rsidRDefault="00F9626D" w:rsidP="00A02FC6">
      <w:r>
        <w:separator/>
      </w:r>
    </w:p>
  </w:endnote>
  <w:endnote w:type="continuationSeparator" w:id="0">
    <w:p w14:paraId="0AA11142" w14:textId="77777777" w:rsidR="00F9626D" w:rsidRDefault="00F9626D"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056E5" w14:textId="77777777" w:rsidR="001A3493" w:rsidRPr="00184512" w:rsidRDefault="001A3493" w:rsidP="00792161">
    <w:pPr>
      <w:pStyle w:val="Footer"/>
      <w:jc w:val="right"/>
    </w:pPr>
    <w:r w:rsidRPr="00293BE9">
      <w:rPr>
        <w:lang w:eastAsia="en-AU"/>
      </w:rPr>
      <mc:AlternateContent>
        <mc:Choice Requires="wps">
          <w:drawing>
            <wp:anchor distT="0" distB="0" distL="114300" distR="114300" simplePos="0" relativeHeight="251691008" behindDoc="0" locked="1" layoutInCell="1" allowOverlap="1" wp14:anchorId="5BEB9974" wp14:editId="786AE163">
              <wp:simplePos x="0" y="0"/>
              <wp:positionH relativeFrom="column">
                <wp:align>left</wp:align>
              </wp:positionH>
              <wp:positionV relativeFrom="paragraph">
                <wp:posOffset>0</wp:posOffset>
              </wp:positionV>
              <wp:extent cx="890270" cy="656590"/>
              <wp:effectExtent l="0" t="0" r="5080" b="10160"/>
              <wp:wrapNone/>
              <wp:docPr id="24" name="Text Box 24"/>
              <wp:cNvGraphicFramePr/>
              <a:graphic xmlns:a="http://schemas.openxmlformats.org/drawingml/2006/main">
                <a:graphicData uri="http://schemas.microsoft.com/office/word/2010/wordprocessingShape">
                  <wps:wsp>
                    <wps:cNvSpPr txBox="1"/>
                    <wps:spPr>
                      <a:xfrm>
                        <a:off x="0" y="0"/>
                        <a:ext cx="890270" cy="656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94E2B" w14:textId="77777777" w:rsidR="001A3493" w:rsidRPr="00671047" w:rsidRDefault="001A3493" w:rsidP="000E2CE8">
                          <w:pPr>
                            <w:pStyle w:val="PageNo"/>
                            <w:jc w:val="left"/>
                          </w:pPr>
                          <w:r w:rsidRPr="00671047">
                            <w:fldChar w:fldCharType="begin"/>
                          </w:r>
                          <w:r w:rsidRPr="00671047">
                            <w:instrText xml:space="preserve"> PAGE   \* MERGEFORMAT </w:instrText>
                          </w:r>
                          <w:r w:rsidRPr="00671047">
                            <w:fldChar w:fldCharType="separate"/>
                          </w:r>
                          <w:r w:rsidR="00734F0F">
                            <w:t>3–10</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0;margin-top:0;width:70.1pt;height:51.7pt;z-index:25169100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" filled="f" stroked="f" strokeweight=".5pt">
              <v:textbox style="mso-fit-shape-to-text:t" inset="0,0,0,0">
                <w:txbxContent>
                  <w:p w14:paraId="02194E2B" w14:textId="77777777" w:rsidR="001A3493" w:rsidRPr="00671047" w:rsidRDefault="001A3493" w:rsidP="000E2CE8">
                    <w:pPr>
                      <w:pStyle w:val="PageNo"/>
                      <w:jc w:val="left"/>
                    </w:pPr>
                    <w:r w:rsidRPr="00671047">
                      <w:fldChar w:fldCharType="begin"/>
                    </w:r>
                    <w:r w:rsidRPr="00671047">
                      <w:instrText xml:space="preserve"> PAGE   \* MERGEFORMAT </w:instrText>
                    </w:r>
                    <w:r w:rsidRPr="00671047">
                      <w:fldChar w:fldCharType="separate"/>
                    </w:r>
                    <w:r w:rsidR="00734F0F">
                      <w:t>3–10</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E1CBA" w14:textId="77777777" w:rsidR="00AA49C5" w:rsidRPr="00184512" w:rsidRDefault="00AA49C5"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3056" behindDoc="0" locked="1" layoutInCell="1" allowOverlap="1" wp14:anchorId="0680B935" wp14:editId="134DCB1F">
              <wp:simplePos x="0" y="0"/>
              <wp:positionH relativeFrom="rightMargin">
                <wp:posOffset>-900430</wp:posOffset>
              </wp:positionH>
              <wp:positionV relativeFrom="paragraph">
                <wp:posOffset>0</wp:posOffset>
              </wp:positionV>
              <wp:extent cx="899795" cy="656590"/>
              <wp:effectExtent l="0" t="0" r="14605" b="14605"/>
              <wp:wrapNone/>
              <wp:docPr id="3" name="Text Box 3"/>
              <wp:cNvGraphicFramePr/>
              <a:graphic xmlns:a="http://schemas.openxmlformats.org/drawingml/2006/main">
                <a:graphicData uri="http://schemas.microsoft.com/office/word/2010/wordprocessingShape">
                  <wps:wsp>
                    <wps:cNvSpPr txBox="1"/>
                    <wps:spPr>
                      <a:xfrm>
                        <a:off x="0" y="0"/>
                        <a:ext cx="899795" cy="656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C9620" w14:textId="77777777" w:rsidR="00AA49C5" w:rsidRPr="00671047" w:rsidRDefault="00AA49C5" w:rsidP="00D80A9E">
                          <w:pPr>
                            <w:pStyle w:val="PageNo"/>
                          </w:pPr>
                          <w:r w:rsidRPr="00671047">
                            <w:fldChar w:fldCharType="begin"/>
                          </w:r>
                          <w:r w:rsidRPr="00671047">
                            <w:instrText xml:space="preserve"> PAGE   \* MERGEFORMAT </w:instrText>
                          </w:r>
                          <w:r w:rsidRPr="00671047">
                            <w:fldChar w:fldCharType="separate"/>
                          </w:r>
                          <w:r w:rsidR="00734F0F">
                            <w:t>3–9</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0.9pt;margin-top:0;width:70.85pt;height:51.7pt;z-index:2516930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" filled="f" stroked="f" strokeweight=".5pt">
              <v:textbox style="mso-fit-shape-to-text:t" inset="0,0,0,0">
                <w:txbxContent>
                  <w:p w14:paraId="699C9620" w14:textId="77777777" w:rsidR="00AA49C5" w:rsidRPr="00671047" w:rsidRDefault="00AA49C5" w:rsidP="00D80A9E">
                    <w:pPr>
                      <w:pStyle w:val="PageNo"/>
                    </w:pPr>
                    <w:r w:rsidRPr="00671047">
                      <w:fldChar w:fldCharType="begin"/>
                    </w:r>
                    <w:r w:rsidRPr="00671047">
                      <w:instrText xml:space="preserve"> PAGE   \* MERGEFORMAT </w:instrText>
                    </w:r>
                    <w:r w:rsidRPr="00671047">
                      <w:fldChar w:fldCharType="separate"/>
                    </w:r>
                    <w:r w:rsidR="00734F0F">
                      <w:t>3–9</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F27A7" w14:textId="77777777" w:rsidR="001A3493" w:rsidRDefault="001A3493" w:rsidP="00891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4E7C8" w14:textId="77777777" w:rsidR="00F9626D" w:rsidRDefault="00F9626D" w:rsidP="0036083B">
      <w:pPr>
        <w:spacing w:before="360"/>
      </w:pPr>
      <w:r>
        <w:separator/>
      </w:r>
    </w:p>
  </w:footnote>
  <w:footnote w:type="continuationSeparator" w:id="0">
    <w:p w14:paraId="61FFF7F2" w14:textId="77777777" w:rsidR="00F9626D" w:rsidRDefault="00F9626D" w:rsidP="0036083B">
      <w:pPr>
        <w:spacing w:before="360"/>
      </w:pPr>
      <w:r>
        <w:continuationSeparator/>
      </w:r>
    </w:p>
  </w:footnote>
  <w:footnote w:type="continuationNotice" w:id="1">
    <w:p w14:paraId="7A6F781C" w14:textId="77777777" w:rsidR="00F9626D" w:rsidRDefault="00F9626D" w:rsidP="00A02F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915EB" w14:textId="77777777" w:rsidR="001A3493" w:rsidRDefault="001A34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D16A4EA4"/>
    <w:lvl w:ilvl="0">
      <w:start w:val="3"/>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134" w:hanging="1134"/>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0FF5E2E"/>
    <w:multiLevelType w:val="hybridMultilevel"/>
    <w:tmpl w:val="C2605460"/>
    <w:lvl w:ilvl="0" w:tplc="0C090001">
      <w:start w:val="1"/>
      <w:numFmt w:val="bullet"/>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7">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8"/>
  </w:num>
  <w:num w:numId="2">
    <w:abstractNumId w:val="3"/>
  </w:num>
  <w:num w:numId="3">
    <w:abstractNumId w:val="5"/>
  </w:num>
  <w:num w:numId="4">
    <w:abstractNumId w:val="2"/>
  </w:num>
  <w:num w:numId="5">
    <w:abstractNumId w:val="1"/>
  </w:num>
  <w:num w:numId="6">
    <w:abstractNumId w:val="0"/>
  </w:num>
  <w:num w:numId="7">
    <w:abstractNumId w:val="7"/>
  </w:num>
  <w:num w:numId="8">
    <w:abstractNumId w:val="4"/>
  </w:num>
  <w:num w:numId="9">
    <w:abstractNumId w:val="6"/>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1CD"/>
    <w:rsid w:val="00003622"/>
    <w:rsid w:val="00007D9E"/>
    <w:rsid w:val="00013C24"/>
    <w:rsid w:val="00014A01"/>
    <w:rsid w:val="00017047"/>
    <w:rsid w:val="00021CEC"/>
    <w:rsid w:val="00023787"/>
    <w:rsid w:val="00025963"/>
    <w:rsid w:val="000267FC"/>
    <w:rsid w:val="00027AFC"/>
    <w:rsid w:val="00030198"/>
    <w:rsid w:val="000303C6"/>
    <w:rsid w:val="000368F3"/>
    <w:rsid w:val="00036C14"/>
    <w:rsid w:val="00037D07"/>
    <w:rsid w:val="0004094D"/>
    <w:rsid w:val="00044695"/>
    <w:rsid w:val="0004776D"/>
    <w:rsid w:val="00047F4F"/>
    <w:rsid w:val="00050881"/>
    <w:rsid w:val="00050AF0"/>
    <w:rsid w:val="00053ED4"/>
    <w:rsid w:val="00057D8A"/>
    <w:rsid w:val="00060230"/>
    <w:rsid w:val="000639E5"/>
    <w:rsid w:val="00066894"/>
    <w:rsid w:val="00070A2B"/>
    <w:rsid w:val="00075035"/>
    <w:rsid w:val="0007669C"/>
    <w:rsid w:val="00080123"/>
    <w:rsid w:val="00083077"/>
    <w:rsid w:val="00095E7F"/>
    <w:rsid w:val="00096257"/>
    <w:rsid w:val="00097274"/>
    <w:rsid w:val="000972D6"/>
    <w:rsid w:val="000A247E"/>
    <w:rsid w:val="000A4DFB"/>
    <w:rsid w:val="000A661C"/>
    <w:rsid w:val="000B14C5"/>
    <w:rsid w:val="000B5B9F"/>
    <w:rsid w:val="000B5D48"/>
    <w:rsid w:val="000B5E04"/>
    <w:rsid w:val="000B7555"/>
    <w:rsid w:val="000C0031"/>
    <w:rsid w:val="000C2DBD"/>
    <w:rsid w:val="000C3B1C"/>
    <w:rsid w:val="000C4409"/>
    <w:rsid w:val="000C5AB3"/>
    <w:rsid w:val="000C6688"/>
    <w:rsid w:val="000C7280"/>
    <w:rsid w:val="000C7931"/>
    <w:rsid w:val="000C7A90"/>
    <w:rsid w:val="000D0283"/>
    <w:rsid w:val="000D0BB1"/>
    <w:rsid w:val="000D0DB0"/>
    <w:rsid w:val="000D16A5"/>
    <w:rsid w:val="000D255B"/>
    <w:rsid w:val="000D4CE8"/>
    <w:rsid w:val="000D65A8"/>
    <w:rsid w:val="000D709B"/>
    <w:rsid w:val="000E0B71"/>
    <w:rsid w:val="000E1DAB"/>
    <w:rsid w:val="000E2CE8"/>
    <w:rsid w:val="000F2147"/>
    <w:rsid w:val="000F3515"/>
    <w:rsid w:val="000F4F46"/>
    <w:rsid w:val="000F5477"/>
    <w:rsid w:val="000F65AF"/>
    <w:rsid w:val="00100D55"/>
    <w:rsid w:val="0010128A"/>
    <w:rsid w:val="00102ABB"/>
    <w:rsid w:val="00105D1D"/>
    <w:rsid w:val="00107310"/>
    <w:rsid w:val="001078E8"/>
    <w:rsid w:val="001130DB"/>
    <w:rsid w:val="0011570F"/>
    <w:rsid w:val="00116DDF"/>
    <w:rsid w:val="00117B0A"/>
    <w:rsid w:val="00120813"/>
    <w:rsid w:val="00120DF1"/>
    <w:rsid w:val="001228E3"/>
    <w:rsid w:val="00122FCC"/>
    <w:rsid w:val="00123162"/>
    <w:rsid w:val="001234E9"/>
    <w:rsid w:val="00124A1C"/>
    <w:rsid w:val="0012791D"/>
    <w:rsid w:val="001320D7"/>
    <w:rsid w:val="0013218F"/>
    <w:rsid w:val="00132E97"/>
    <w:rsid w:val="001331C9"/>
    <w:rsid w:val="00135241"/>
    <w:rsid w:val="00142291"/>
    <w:rsid w:val="00142E17"/>
    <w:rsid w:val="00143C7D"/>
    <w:rsid w:val="00144BBA"/>
    <w:rsid w:val="00147E56"/>
    <w:rsid w:val="001508F3"/>
    <w:rsid w:val="00150F46"/>
    <w:rsid w:val="00153CF5"/>
    <w:rsid w:val="001574D4"/>
    <w:rsid w:val="00157ECB"/>
    <w:rsid w:val="00163CED"/>
    <w:rsid w:val="001658E4"/>
    <w:rsid w:val="001668AB"/>
    <w:rsid w:val="0017003C"/>
    <w:rsid w:val="00171675"/>
    <w:rsid w:val="00172168"/>
    <w:rsid w:val="00172379"/>
    <w:rsid w:val="00173811"/>
    <w:rsid w:val="00174B84"/>
    <w:rsid w:val="00174C76"/>
    <w:rsid w:val="00174E12"/>
    <w:rsid w:val="00181925"/>
    <w:rsid w:val="00181A7E"/>
    <w:rsid w:val="0018300B"/>
    <w:rsid w:val="00184512"/>
    <w:rsid w:val="00192F51"/>
    <w:rsid w:val="0019472B"/>
    <w:rsid w:val="00196EC8"/>
    <w:rsid w:val="001976D2"/>
    <w:rsid w:val="001A181E"/>
    <w:rsid w:val="001A3493"/>
    <w:rsid w:val="001A5B92"/>
    <w:rsid w:val="001A75E1"/>
    <w:rsid w:val="001A76AF"/>
    <w:rsid w:val="001A78B0"/>
    <w:rsid w:val="001B30F7"/>
    <w:rsid w:val="001B5D17"/>
    <w:rsid w:val="001C1A26"/>
    <w:rsid w:val="001C1E5B"/>
    <w:rsid w:val="001C5EC2"/>
    <w:rsid w:val="001C6171"/>
    <w:rsid w:val="001D25DA"/>
    <w:rsid w:val="001D2986"/>
    <w:rsid w:val="001D3204"/>
    <w:rsid w:val="001D3B17"/>
    <w:rsid w:val="001D5354"/>
    <w:rsid w:val="001D549F"/>
    <w:rsid w:val="001D5F37"/>
    <w:rsid w:val="001D6464"/>
    <w:rsid w:val="001D6821"/>
    <w:rsid w:val="001D6F2D"/>
    <w:rsid w:val="001E013A"/>
    <w:rsid w:val="001E11E4"/>
    <w:rsid w:val="001E2899"/>
    <w:rsid w:val="001E7FC7"/>
    <w:rsid w:val="001F3F88"/>
    <w:rsid w:val="001F571B"/>
    <w:rsid w:val="001F6AA8"/>
    <w:rsid w:val="001F6DF9"/>
    <w:rsid w:val="001F76EB"/>
    <w:rsid w:val="002021BF"/>
    <w:rsid w:val="00203929"/>
    <w:rsid w:val="0020399A"/>
    <w:rsid w:val="00204431"/>
    <w:rsid w:val="00204EE2"/>
    <w:rsid w:val="00207206"/>
    <w:rsid w:val="0021028A"/>
    <w:rsid w:val="002114BE"/>
    <w:rsid w:val="00211EAF"/>
    <w:rsid w:val="00212BA8"/>
    <w:rsid w:val="00213EDF"/>
    <w:rsid w:val="00214211"/>
    <w:rsid w:val="00217987"/>
    <w:rsid w:val="00220CDD"/>
    <w:rsid w:val="00222DEB"/>
    <w:rsid w:val="00224918"/>
    <w:rsid w:val="00224E65"/>
    <w:rsid w:val="002254D9"/>
    <w:rsid w:val="00225548"/>
    <w:rsid w:val="00237A77"/>
    <w:rsid w:val="0024199C"/>
    <w:rsid w:val="0024320D"/>
    <w:rsid w:val="002448D4"/>
    <w:rsid w:val="002469F2"/>
    <w:rsid w:val="00247E76"/>
    <w:rsid w:val="0025023D"/>
    <w:rsid w:val="00252B98"/>
    <w:rsid w:val="00253B4A"/>
    <w:rsid w:val="0025542C"/>
    <w:rsid w:val="002561AD"/>
    <w:rsid w:val="002566D5"/>
    <w:rsid w:val="0025787E"/>
    <w:rsid w:val="002609FD"/>
    <w:rsid w:val="00264D6B"/>
    <w:rsid w:val="00265073"/>
    <w:rsid w:val="0027245C"/>
    <w:rsid w:val="00273E4A"/>
    <w:rsid w:val="002770A4"/>
    <w:rsid w:val="002811F9"/>
    <w:rsid w:val="00281BBF"/>
    <w:rsid w:val="00282B57"/>
    <w:rsid w:val="00283B87"/>
    <w:rsid w:val="002867A7"/>
    <w:rsid w:val="00292D2A"/>
    <w:rsid w:val="0029345C"/>
    <w:rsid w:val="00293BE9"/>
    <w:rsid w:val="002948A8"/>
    <w:rsid w:val="00294914"/>
    <w:rsid w:val="0029614E"/>
    <w:rsid w:val="0029753A"/>
    <w:rsid w:val="002A05B1"/>
    <w:rsid w:val="002A1342"/>
    <w:rsid w:val="002A4AF1"/>
    <w:rsid w:val="002B282F"/>
    <w:rsid w:val="002B4B77"/>
    <w:rsid w:val="002B5F7E"/>
    <w:rsid w:val="002B65E9"/>
    <w:rsid w:val="002B6EF0"/>
    <w:rsid w:val="002C1713"/>
    <w:rsid w:val="002C2990"/>
    <w:rsid w:val="002C2B98"/>
    <w:rsid w:val="002C3620"/>
    <w:rsid w:val="002C555F"/>
    <w:rsid w:val="002D0DF5"/>
    <w:rsid w:val="002D22B9"/>
    <w:rsid w:val="002D310F"/>
    <w:rsid w:val="002D3A61"/>
    <w:rsid w:val="002D5278"/>
    <w:rsid w:val="002E0392"/>
    <w:rsid w:val="002E07FE"/>
    <w:rsid w:val="002E0BB9"/>
    <w:rsid w:val="002E2BC7"/>
    <w:rsid w:val="002E2C32"/>
    <w:rsid w:val="002E3267"/>
    <w:rsid w:val="002E3E20"/>
    <w:rsid w:val="002E6F57"/>
    <w:rsid w:val="002F05B7"/>
    <w:rsid w:val="002F12AE"/>
    <w:rsid w:val="002F30E8"/>
    <w:rsid w:val="002F3E9C"/>
    <w:rsid w:val="002F4826"/>
    <w:rsid w:val="002F7361"/>
    <w:rsid w:val="00302352"/>
    <w:rsid w:val="003031A3"/>
    <w:rsid w:val="003103FD"/>
    <w:rsid w:val="003108F5"/>
    <w:rsid w:val="003109B3"/>
    <w:rsid w:val="00312040"/>
    <w:rsid w:val="0031364F"/>
    <w:rsid w:val="00315FBA"/>
    <w:rsid w:val="00316F25"/>
    <w:rsid w:val="00320991"/>
    <w:rsid w:val="00320D25"/>
    <w:rsid w:val="00320F05"/>
    <w:rsid w:val="00321B47"/>
    <w:rsid w:val="00323E9D"/>
    <w:rsid w:val="00325F4E"/>
    <w:rsid w:val="00330302"/>
    <w:rsid w:val="0033435B"/>
    <w:rsid w:val="003365C1"/>
    <w:rsid w:val="003401A7"/>
    <w:rsid w:val="00343894"/>
    <w:rsid w:val="0034583A"/>
    <w:rsid w:val="003461B7"/>
    <w:rsid w:val="00347560"/>
    <w:rsid w:val="00350683"/>
    <w:rsid w:val="003524A6"/>
    <w:rsid w:val="00353964"/>
    <w:rsid w:val="00353BBB"/>
    <w:rsid w:val="003547C0"/>
    <w:rsid w:val="00355BCD"/>
    <w:rsid w:val="003565B0"/>
    <w:rsid w:val="00356F63"/>
    <w:rsid w:val="0036083B"/>
    <w:rsid w:val="0036143B"/>
    <w:rsid w:val="00362EB3"/>
    <w:rsid w:val="003652B8"/>
    <w:rsid w:val="00367547"/>
    <w:rsid w:val="00370C55"/>
    <w:rsid w:val="003718E2"/>
    <w:rsid w:val="003727C6"/>
    <w:rsid w:val="003759DA"/>
    <w:rsid w:val="00376061"/>
    <w:rsid w:val="0037677C"/>
    <w:rsid w:val="00377F14"/>
    <w:rsid w:val="00380F3F"/>
    <w:rsid w:val="00383BEB"/>
    <w:rsid w:val="00384EB6"/>
    <w:rsid w:val="00386873"/>
    <w:rsid w:val="00390E2D"/>
    <w:rsid w:val="00393047"/>
    <w:rsid w:val="003975FE"/>
    <w:rsid w:val="003A3039"/>
    <w:rsid w:val="003A3A68"/>
    <w:rsid w:val="003A675D"/>
    <w:rsid w:val="003B1121"/>
    <w:rsid w:val="003B1146"/>
    <w:rsid w:val="003B2660"/>
    <w:rsid w:val="003B34B4"/>
    <w:rsid w:val="003C325B"/>
    <w:rsid w:val="003C5558"/>
    <w:rsid w:val="003C65F6"/>
    <w:rsid w:val="003C76D5"/>
    <w:rsid w:val="003D10B7"/>
    <w:rsid w:val="003D266F"/>
    <w:rsid w:val="003D303F"/>
    <w:rsid w:val="003D7E5A"/>
    <w:rsid w:val="003E1380"/>
    <w:rsid w:val="003E1CBD"/>
    <w:rsid w:val="003E3D65"/>
    <w:rsid w:val="003F1CA7"/>
    <w:rsid w:val="003F420F"/>
    <w:rsid w:val="003F47AB"/>
    <w:rsid w:val="003F6A1C"/>
    <w:rsid w:val="003F7E5E"/>
    <w:rsid w:val="00400156"/>
    <w:rsid w:val="00402D0A"/>
    <w:rsid w:val="00402D84"/>
    <w:rsid w:val="0040469E"/>
    <w:rsid w:val="00405B12"/>
    <w:rsid w:val="00406CA3"/>
    <w:rsid w:val="00406CDC"/>
    <w:rsid w:val="00417616"/>
    <w:rsid w:val="004205CB"/>
    <w:rsid w:val="0042310B"/>
    <w:rsid w:val="004242AE"/>
    <w:rsid w:val="00424A7C"/>
    <w:rsid w:val="00426DFE"/>
    <w:rsid w:val="004300E3"/>
    <w:rsid w:val="00431510"/>
    <w:rsid w:val="004318B9"/>
    <w:rsid w:val="00432957"/>
    <w:rsid w:val="00442CFF"/>
    <w:rsid w:val="00444EF7"/>
    <w:rsid w:val="00445489"/>
    <w:rsid w:val="004466F3"/>
    <w:rsid w:val="00446F35"/>
    <w:rsid w:val="0044779F"/>
    <w:rsid w:val="0045239B"/>
    <w:rsid w:val="00452575"/>
    <w:rsid w:val="00455F4F"/>
    <w:rsid w:val="00462270"/>
    <w:rsid w:val="00464C87"/>
    <w:rsid w:val="004655E6"/>
    <w:rsid w:val="004667CC"/>
    <w:rsid w:val="004700A2"/>
    <w:rsid w:val="004733D1"/>
    <w:rsid w:val="00473B20"/>
    <w:rsid w:val="0047403B"/>
    <w:rsid w:val="004769EC"/>
    <w:rsid w:val="00477850"/>
    <w:rsid w:val="0048004A"/>
    <w:rsid w:val="00482AE4"/>
    <w:rsid w:val="00483363"/>
    <w:rsid w:val="004837F4"/>
    <w:rsid w:val="00483C20"/>
    <w:rsid w:val="00484394"/>
    <w:rsid w:val="00485503"/>
    <w:rsid w:val="00485C9D"/>
    <w:rsid w:val="00486F0E"/>
    <w:rsid w:val="0049571F"/>
    <w:rsid w:val="00495B17"/>
    <w:rsid w:val="00497842"/>
    <w:rsid w:val="004A1755"/>
    <w:rsid w:val="004A1A93"/>
    <w:rsid w:val="004A25A9"/>
    <w:rsid w:val="004A3086"/>
    <w:rsid w:val="004A32BF"/>
    <w:rsid w:val="004A505C"/>
    <w:rsid w:val="004A55F8"/>
    <w:rsid w:val="004A71F6"/>
    <w:rsid w:val="004B02C2"/>
    <w:rsid w:val="004B047B"/>
    <w:rsid w:val="004B127C"/>
    <w:rsid w:val="004B3814"/>
    <w:rsid w:val="004B40C2"/>
    <w:rsid w:val="004B6B78"/>
    <w:rsid w:val="004C1CD1"/>
    <w:rsid w:val="004C3157"/>
    <w:rsid w:val="004C3C0E"/>
    <w:rsid w:val="004C5028"/>
    <w:rsid w:val="004C6EBF"/>
    <w:rsid w:val="004C72D8"/>
    <w:rsid w:val="004C7C8E"/>
    <w:rsid w:val="004D2352"/>
    <w:rsid w:val="004D5078"/>
    <w:rsid w:val="004D7600"/>
    <w:rsid w:val="004D7E0B"/>
    <w:rsid w:val="004E3A1F"/>
    <w:rsid w:val="004E4B85"/>
    <w:rsid w:val="004F6FF0"/>
    <w:rsid w:val="004F76E2"/>
    <w:rsid w:val="004F7D42"/>
    <w:rsid w:val="004F7E67"/>
    <w:rsid w:val="00501622"/>
    <w:rsid w:val="005038C3"/>
    <w:rsid w:val="00504BC3"/>
    <w:rsid w:val="00505DE8"/>
    <w:rsid w:val="00506AF3"/>
    <w:rsid w:val="00507661"/>
    <w:rsid w:val="00512764"/>
    <w:rsid w:val="00512DAE"/>
    <w:rsid w:val="00514F08"/>
    <w:rsid w:val="005151D9"/>
    <w:rsid w:val="005210AD"/>
    <w:rsid w:val="005217F5"/>
    <w:rsid w:val="00524670"/>
    <w:rsid w:val="005248A1"/>
    <w:rsid w:val="00526B45"/>
    <w:rsid w:val="00526CCC"/>
    <w:rsid w:val="00530CE8"/>
    <w:rsid w:val="005365C7"/>
    <w:rsid w:val="00541E1F"/>
    <w:rsid w:val="00544E7A"/>
    <w:rsid w:val="00544F52"/>
    <w:rsid w:val="005469E6"/>
    <w:rsid w:val="00546B16"/>
    <w:rsid w:val="00546B28"/>
    <w:rsid w:val="00550D76"/>
    <w:rsid w:val="00553022"/>
    <w:rsid w:val="005554F8"/>
    <w:rsid w:val="00555842"/>
    <w:rsid w:val="00560C70"/>
    <w:rsid w:val="00561179"/>
    <w:rsid w:val="0056128E"/>
    <w:rsid w:val="00561EE9"/>
    <w:rsid w:val="00562578"/>
    <w:rsid w:val="00564B7B"/>
    <w:rsid w:val="00567437"/>
    <w:rsid w:val="005726F5"/>
    <w:rsid w:val="0057465A"/>
    <w:rsid w:val="005769EB"/>
    <w:rsid w:val="00576E67"/>
    <w:rsid w:val="00577E17"/>
    <w:rsid w:val="00584114"/>
    <w:rsid w:val="0058494E"/>
    <w:rsid w:val="00593B97"/>
    <w:rsid w:val="0059442A"/>
    <w:rsid w:val="005A1F81"/>
    <w:rsid w:val="005A4ABD"/>
    <w:rsid w:val="005A4F3A"/>
    <w:rsid w:val="005A54BA"/>
    <w:rsid w:val="005A66BF"/>
    <w:rsid w:val="005A70AD"/>
    <w:rsid w:val="005B4698"/>
    <w:rsid w:val="005B796D"/>
    <w:rsid w:val="005C0108"/>
    <w:rsid w:val="005C0ABF"/>
    <w:rsid w:val="005C2F2C"/>
    <w:rsid w:val="005C40D6"/>
    <w:rsid w:val="005C44B4"/>
    <w:rsid w:val="005C50AF"/>
    <w:rsid w:val="005C65BD"/>
    <w:rsid w:val="005C6D58"/>
    <w:rsid w:val="005D0C21"/>
    <w:rsid w:val="005D0C80"/>
    <w:rsid w:val="005D4B62"/>
    <w:rsid w:val="005D57B1"/>
    <w:rsid w:val="005D6F64"/>
    <w:rsid w:val="005E3F1B"/>
    <w:rsid w:val="005E4AD6"/>
    <w:rsid w:val="005E4B51"/>
    <w:rsid w:val="005F0552"/>
    <w:rsid w:val="005F06E7"/>
    <w:rsid w:val="005F21D1"/>
    <w:rsid w:val="005F4F6C"/>
    <w:rsid w:val="00602D49"/>
    <w:rsid w:val="0060421B"/>
    <w:rsid w:val="006049A7"/>
    <w:rsid w:val="00606B19"/>
    <w:rsid w:val="00607B81"/>
    <w:rsid w:val="00615C9A"/>
    <w:rsid w:val="006162DA"/>
    <w:rsid w:val="00616446"/>
    <w:rsid w:val="006165E2"/>
    <w:rsid w:val="006174CB"/>
    <w:rsid w:val="00617D69"/>
    <w:rsid w:val="00620023"/>
    <w:rsid w:val="00622B87"/>
    <w:rsid w:val="006274A2"/>
    <w:rsid w:val="006312AE"/>
    <w:rsid w:val="006349D4"/>
    <w:rsid w:val="00634A00"/>
    <w:rsid w:val="006362D8"/>
    <w:rsid w:val="00640C2D"/>
    <w:rsid w:val="0064197D"/>
    <w:rsid w:val="00644D15"/>
    <w:rsid w:val="00646BE7"/>
    <w:rsid w:val="00646ECA"/>
    <w:rsid w:val="006515EA"/>
    <w:rsid w:val="00653D67"/>
    <w:rsid w:val="00654459"/>
    <w:rsid w:val="00654F81"/>
    <w:rsid w:val="00655600"/>
    <w:rsid w:val="00655CD5"/>
    <w:rsid w:val="00656B93"/>
    <w:rsid w:val="006631EA"/>
    <w:rsid w:val="00664A9C"/>
    <w:rsid w:val="00664BB6"/>
    <w:rsid w:val="0066659B"/>
    <w:rsid w:val="00667E68"/>
    <w:rsid w:val="006706F1"/>
    <w:rsid w:val="00671047"/>
    <w:rsid w:val="0067178E"/>
    <w:rsid w:val="0067362F"/>
    <w:rsid w:val="0068007D"/>
    <w:rsid w:val="00681821"/>
    <w:rsid w:val="00681F21"/>
    <w:rsid w:val="00682BEB"/>
    <w:rsid w:val="00685655"/>
    <w:rsid w:val="006873EF"/>
    <w:rsid w:val="0069118A"/>
    <w:rsid w:val="00691E3B"/>
    <w:rsid w:val="006920C8"/>
    <w:rsid w:val="006953AF"/>
    <w:rsid w:val="006A32BE"/>
    <w:rsid w:val="006A39BE"/>
    <w:rsid w:val="006A5BC5"/>
    <w:rsid w:val="006A616C"/>
    <w:rsid w:val="006A6D3D"/>
    <w:rsid w:val="006A76CA"/>
    <w:rsid w:val="006B24AA"/>
    <w:rsid w:val="006B310A"/>
    <w:rsid w:val="006B475B"/>
    <w:rsid w:val="006B4EBB"/>
    <w:rsid w:val="006B5506"/>
    <w:rsid w:val="006C3300"/>
    <w:rsid w:val="006C3C2E"/>
    <w:rsid w:val="006C693A"/>
    <w:rsid w:val="006C6A18"/>
    <w:rsid w:val="006C6A97"/>
    <w:rsid w:val="006D1AD8"/>
    <w:rsid w:val="006D28B3"/>
    <w:rsid w:val="006D2A06"/>
    <w:rsid w:val="006D62CF"/>
    <w:rsid w:val="006E0CB6"/>
    <w:rsid w:val="006E1AA6"/>
    <w:rsid w:val="006E2B12"/>
    <w:rsid w:val="006E3512"/>
    <w:rsid w:val="006E6FF6"/>
    <w:rsid w:val="006E7C63"/>
    <w:rsid w:val="006F5AEB"/>
    <w:rsid w:val="006F7967"/>
    <w:rsid w:val="00700070"/>
    <w:rsid w:val="0070018E"/>
    <w:rsid w:val="00702EE7"/>
    <w:rsid w:val="00702F7E"/>
    <w:rsid w:val="0070496E"/>
    <w:rsid w:val="00711873"/>
    <w:rsid w:val="00711895"/>
    <w:rsid w:val="00713D80"/>
    <w:rsid w:val="00713E03"/>
    <w:rsid w:val="00715BAA"/>
    <w:rsid w:val="007200C4"/>
    <w:rsid w:val="00722ADF"/>
    <w:rsid w:val="007234F3"/>
    <w:rsid w:val="00725095"/>
    <w:rsid w:val="00725229"/>
    <w:rsid w:val="007310BC"/>
    <w:rsid w:val="00734F0F"/>
    <w:rsid w:val="007355DF"/>
    <w:rsid w:val="00741C47"/>
    <w:rsid w:val="00743987"/>
    <w:rsid w:val="00746949"/>
    <w:rsid w:val="00750425"/>
    <w:rsid w:val="007505D3"/>
    <w:rsid w:val="00750C65"/>
    <w:rsid w:val="007533CD"/>
    <w:rsid w:val="007606DC"/>
    <w:rsid w:val="00761A4B"/>
    <w:rsid w:val="00765D6A"/>
    <w:rsid w:val="0076637A"/>
    <w:rsid w:val="007677B8"/>
    <w:rsid w:val="007704B8"/>
    <w:rsid w:val="00770981"/>
    <w:rsid w:val="00771B5B"/>
    <w:rsid w:val="00771FF4"/>
    <w:rsid w:val="007767A6"/>
    <w:rsid w:val="00780259"/>
    <w:rsid w:val="00780E00"/>
    <w:rsid w:val="0078236F"/>
    <w:rsid w:val="007830DB"/>
    <w:rsid w:val="007838AF"/>
    <w:rsid w:val="00787E68"/>
    <w:rsid w:val="007913F5"/>
    <w:rsid w:val="00792161"/>
    <w:rsid w:val="007931FE"/>
    <w:rsid w:val="00793760"/>
    <w:rsid w:val="00793BE0"/>
    <w:rsid w:val="007950D2"/>
    <w:rsid w:val="007970B0"/>
    <w:rsid w:val="007A29AB"/>
    <w:rsid w:val="007A3C09"/>
    <w:rsid w:val="007A4768"/>
    <w:rsid w:val="007A4B3B"/>
    <w:rsid w:val="007A63FE"/>
    <w:rsid w:val="007A6909"/>
    <w:rsid w:val="007A708E"/>
    <w:rsid w:val="007B1248"/>
    <w:rsid w:val="007B1C66"/>
    <w:rsid w:val="007B35DB"/>
    <w:rsid w:val="007B76AD"/>
    <w:rsid w:val="007B7777"/>
    <w:rsid w:val="007C022F"/>
    <w:rsid w:val="007C20B1"/>
    <w:rsid w:val="007C45F9"/>
    <w:rsid w:val="007C4D71"/>
    <w:rsid w:val="007D0F38"/>
    <w:rsid w:val="007D167B"/>
    <w:rsid w:val="007E1530"/>
    <w:rsid w:val="007E157D"/>
    <w:rsid w:val="007E6CAC"/>
    <w:rsid w:val="007F008C"/>
    <w:rsid w:val="007F03F2"/>
    <w:rsid w:val="007F13D0"/>
    <w:rsid w:val="007F5380"/>
    <w:rsid w:val="007F56DE"/>
    <w:rsid w:val="007F5BFE"/>
    <w:rsid w:val="007F7872"/>
    <w:rsid w:val="00800505"/>
    <w:rsid w:val="00801F81"/>
    <w:rsid w:val="008026F0"/>
    <w:rsid w:val="008032B1"/>
    <w:rsid w:val="00804DC5"/>
    <w:rsid w:val="00805A32"/>
    <w:rsid w:val="00807365"/>
    <w:rsid w:val="0081374A"/>
    <w:rsid w:val="00813E8B"/>
    <w:rsid w:val="008150C4"/>
    <w:rsid w:val="00815685"/>
    <w:rsid w:val="00817212"/>
    <w:rsid w:val="008206F9"/>
    <w:rsid w:val="008207E8"/>
    <w:rsid w:val="008213EB"/>
    <w:rsid w:val="00821F0A"/>
    <w:rsid w:val="00824E4B"/>
    <w:rsid w:val="00825B8D"/>
    <w:rsid w:val="008277B6"/>
    <w:rsid w:val="00830076"/>
    <w:rsid w:val="008300D1"/>
    <w:rsid w:val="00835370"/>
    <w:rsid w:val="0083670B"/>
    <w:rsid w:val="00836EA3"/>
    <w:rsid w:val="0084174D"/>
    <w:rsid w:val="0084205A"/>
    <w:rsid w:val="0084307D"/>
    <w:rsid w:val="0084698F"/>
    <w:rsid w:val="00851BB7"/>
    <w:rsid w:val="0085261C"/>
    <w:rsid w:val="00853623"/>
    <w:rsid w:val="00853807"/>
    <w:rsid w:val="00855449"/>
    <w:rsid w:val="008632CB"/>
    <w:rsid w:val="00864C2A"/>
    <w:rsid w:val="0086521D"/>
    <w:rsid w:val="008660CE"/>
    <w:rsid w:val="00873926"/>
    <w:rsid w:val="0087697F"/>
    <w:rsid w:val="008821C2"/>
    <w:rsid w:val="008830AD"/>
    <w:rsid w:val="00891245"/>
    <w:rsid w:val="008912F0"/>
    <w:rsid w:val="00892BBD"/>
    <w:rsid w:val="00895AF1"/>
    <w:rsid w:val="0089785B"/>
    <w:rsid w:val="008978E0"/>
    <w:rsid w:val="008A6602"/>
    <w:rsid w:val="008A6729"/>
    <w:rsid w:val="008A7A62"/>
    <w:rsid w:val="008B0140"/>
    <w:rsid w:val="008B14FC"/>
    <w:rsid w:val="008B15B0"/>
    <w:rsid w:val="008B2733"/>
    <w:rsid w:val="008B59EE"/>
    <w:rsid w:val="008B7C2E"/>
    <w:rsid w:val="008C0604"/>
    <w:rsid w:val="008C22A7"/>
    <w:rsid w:val="008C4729"/>
    <w:rsid w:val="008D14E7"/>
    <w:rsid w:val="008D1A44"/>
    <w:rsid w:val="008D1B5A"/>
    <w:rsid w:val="008D2A1A"/>
    <w:rsid w:val="008D2F19"/>
    <w:rsid w:val="008D748F"/>
    <w:rsid w:val="008E3694"/>
    <w:rsid w:val="008E687E"/>
    <w:rsid w:val="008E746F"/>
    <w:rsid w:val="008F0161"/>
    <w:rsid w:val="008F23F7"/>
    <w:rsid w:val="008F3EDC"/>
    <w:rsid w:val="008F6AD5"/>
    <w:rsid w:val="008F6C75"/>
    <w:rsid w:val="008F705C"/>
    <w:rsid w:val="00902DB7"/>
    <w:rsid w:val="00903886"/>
    <w:rsid w:val="0090405B"/>
    <w:rsid w:val="0090765B"/>
    <w:rsid w:val="009105B7"/>
    <w:rsid w:val="009109C1"/>
    <w:rsid w:val="00912409"/>
    <w:rsid w:val="00913058"/>
    <w:rsid w:val="0091346B"/>
    <w:rsid w:val="0091417F"/>
    <w:rsid w:val="009163E1"/>
    <w:rsid w:val="00917705"/>
    <w:rsid w:val="009255E3"/>
    <w:rsid w:val="00930539"/>
    <w:rsid w:val="00931512"/>
    <w:rsid w:val="00935367"/>
    <w:rsid w:val="00936083"/>
    <w:rsid w:val="009372CC"/>
    <w:rsid w:val="009406D1"/>
    <w:rsid w:val="00943408"/>
    <w:rsid w:val="00944625"/>
    <w:rsid w:val="00945112"/>
    <w:rsid w:val="00945BEE"/>
    <w:rsid w:val="009468A1"/>
    <w:rsid w:val="00946D02"/>
    <w:rsid w:val="00947F42"/>
    <w:rsid w:val="00953922"/>
    <w:rsid w:val="0095520B"/>
    <w:rsid w:val="009560F7"/>
    <w:rsid w:val="009577FF"/>
    <w:rsid w:val="0096036F"/>
    <w:rsid w:val="00962732"/>
    <w:rsid w:val="00963E90"/>
    <w:rsid w:val="00965C20"/>
    <w:rsid w:val="0096644F"/>
    <w:rsid w:val="0097006C"/>
    <w:rsid w:val="00971D9E"/>
    <w:rsid w:val="009731D8"/>
    <w:rsid w:val="0097373A"/>
    <w:rsid w:val="00974944"/>
    <w:rsid w:val="009754A5"/>
    <w:rsid w:val="00975971"/>
    <w:rsid w:val="009775A5"/>
    <w:rsid w:val="00982F42"/>
    <w:rsid w:val="009831DE"/>
    <w:rsid w:val="00990209"/>
    <w:rsid w:val="00991215"/>
    <w:rsid w:val="009A0854"/>
    <w:rsid w:val="009A1CBD"/>
    <w:rsid w:val="009A2890"/>
    <w:rsid w:val="009A3A36"/>
    <w:rsid w:val="009A44C4"/>
    <w:rsid w:val="009B282F"/>
    <w:rsid w:val="009B47A1"/>
    <w:rsid w:val="009B5232"/>
    <w:rsid w:val="009C0696"/>
    <w:rsid w:val="009C0DE0"/>
    <w:rsid w:val="009C1260"/>
    <w:rsid w:val="009C1824"/>
    <w:rsid w:val="009C739D"/>
    <w:rsid w:val="009C7B60"/>
    <w:rsid w:val="009D283F"/>
    <w:rsid w:val="009D4306"/>
    <w:rsid w:val="009E3121"/>
    <w:rsid w:val="009E34A7"/>
    <w:rsid w:val="009E7EA5"/>
    <w:rsid w:val="009F183C"/>
    <w:rsid w:val="009F1D4F"/>
    <w:rsid w:val="009F2E9A"/>
    <w:rsid w:val="009F472C"/>
    <w:rsid w:val="009F59A0"/>
    <w:rsid w:val="009F5A57"/>
    <w:rsid w:val="009F5C8D"/>
    <w:rsid w:val="009F69AD"/>
    <w:rsid w:val="00A00706"/>
    <w:rsid w:val="00A00F62"/>
    <w:rsid w:val="00A0110B"/>
    <w:rsid w:val="00A01723"/>
    <w:rsid w:val="00A02194"/>
    <w:rsid w:val="00A02FC6"/>
    <w:rsid w:val="00A058C4"/>
    <w:rsid w:val="00A07084"/>
    <w:rsid w:val="00A11179"/>
    <w:rsid w:val="00A11626"/>
    <w:rsid w:val="00A12388"/>
    <w:rsid w:val="00A12627"/>
    <w:rsid w:val="00A145AF"/>
    <w:rsid w:val="00A15D84"/>
    <w:rsid w:val="00A224A4"/>
    <w:rsid w:val="00A22B98"/>
    <w:rsid w:val="00A2353C"/>
    <w:rsid w:val="00A2518A"/>
    <w:rsid w:val="00A25A03"/>
    <w:rsid w:val="00A31D20"/>
    <w:rsid w:val="00A3357E"/>
    <w:rsid w:val="00A3469A"/>
    <w:rsid w:val="00A373C6"/>
    <w:rsid w:val="00A40693"/>
    <w:rsid w:val="00A41067"/>
    <w:rsid w:val="00A422CD"/>
    <w:rsid w:val="00A43503"/>
    <w:rsid w:val="00A4391C"/>
    <w:rsid w:val="00A43F61"/>
    <w:rsid w:val="00A45229"/>
    <w:rsid w:val="00A45887"/>
    <w:rsid w:val="00A47194"/>
    <w:rsid w:val="00A551B0"/>
    <w:rsid w:val="00A62A0B"/>
    <w:rsid w:val="00A642EE"/>
    <w:rsid w:val="00A647ED"/>
    <w:rsid w:val="00A653D2"/>
    <w:rsid w:val="00A65917"/>
    <w:rsid w:val="00A72141"/>
    <w:rsid w:val="00A81785"/>
    <w:rsid w:val="00A821E5"/>
    <w:rsid w:val="00A82CC6"/>
    <w:rsid w:val="00A83CC8"/>
    <w:rsid w:val="00A86B9C"/>
    <w:rsid w:val="00A9045F"/>
    <w:rsid w:val="00A909CA"/>
    <w:rsid w:val="00A915AF"/>
    <w:rsid w:val="00A930EC"/>
    <w:rsid w:val="00A93C5B"/>
    <w:rsid w:val="00A94885"/>
    <w:rsid w:val="00AA0467"/>
    <w:rsid w:val="00AA19B7"/>
    <w:rsid w:val="00AA2126"/>
    <w:rsid w:val="00AA2C45"/>
    <w:rsid w:val="00AA2DBD"/>
    <w:rsid w:val="00AA3AFE"/>
    <w:rsid w:val="00AA49C5"/>
    <w:rsid w:val="00AA59D2"/>
    <w:rsid w:val="00AB0BD9"/>
    <w:rsid w:val="00AB1D75"/>
    <w:rsid w:val="00AB7DC1"/>
    <w:rsid w:val="00AC177A"/>
    <w:rsid w:val="00AC1D86"/>
    <w:rsid w:val="00AC2BA8"/>
    <w:rsid w:val="00AC6DDB"/>
    <w:rsid w:val="00AD2646"/>
    <w:rsid w:val="00AD2928"/>
    <w:rsid w:val="00AD3E8C"/>
    <w:rsid w:val="00AE1F6B"/>
    <w:rsid w:val="00AE2B52"/>
    <w:rsid w:val="00AE5794"/>
    <w:rsid w:val="00AE5928"/>
    <w:rsid w:val="00AE60DC"/>
    <w:rsid w:val="00AE7158"/>
    <w:rsid w:val="00AE7C9A"/>
    <w:rsid w:val="00AF186F"/>
    <w:rsid w:val="00AF493B"/>
    <w:rsid w:val="00AF6F27"/>
    <w:rsid w:val="00AF6FF1"/>
    <w:rsid w:val="00B02E61"/>
    <w:rsid w:val="00B0327D"/>
    <w:rsid w:val="00B0331B"/>
    <w:rsid w:val="00B03B71"/>
    <w:rsid w:val="00B10B16"/>
    <w:rsid w:val="00B11BFA"/>
    <w:rsid w:val="00B15C6B"/>
    <w:rsid w:val="00B170BB"/>
    <w:rsid w:val="00B17C79"/>
    <w:rsid w:val="00B20B0F"/>
    <w:rsid w:val="00B2118E"/>
    <w:rsid w:val="00B22782"/>
    <w:rsid w:val="00B30404"/>
    <w:rsid w:val="00B31244"/>
    <w:rsid w:val="00B31931"/>
    <w:rsid w:val="00B33C0C"/>
    <w:rsid w:val="00B3796B"/>
    <w:rsid w:val="00B414DB"/>
    <w:rsid w:val="00B4291F"/>
    <w:rsid w:val="00B44102"/>
    <w:rsid w:val="00B46926"/>
    <w:rsid w:val="00B503DC"/>
    <w:rsid w:val="00B50D5D"/>
    <w:rsid w:val="00B558CD"/>
    <w:rsid w:val="00B55B2F"/>
    <w:rsid w:val="00B55DE3"/>
    <w:rsid w:val="00B665E5"/>
    <w:rsid w:val="00B66732"/>
    <w:rsid w:val="00B66BAE"/>
    <w:rsid w:val="00B67B63"/>
    <w:rsid w:val="00B7041F"/>
    <w:rsid w:val="00B71618"/>
    <w:rsid w:val="00B71C7C"/>
    <w:rsid w:val="00B74694"/>
    <w:rsid w:val="00B77254"/>
    <w:rsid w:val="00B826DD"/>
    <w:rsid w:val="00B84011"/>
    <w:rsid w:val="00B84C17"/>
    <w:rsid w:val="00B9163A"/>
    <w:rsid w:val="00B9372A"/>
    <w:rsid w:val="00B96108"/>
    <w:rsid w:val="00B968DA"/>
    <w:rsid w:val="00B976EE"/>
    <w:rsid w:val="00BA10E3"/>
    <w:rsid w:val="00BA2CC4"/>
    <w:rsid w:val="00BA3CB2"/>
    <w:rsid w:val="00BA5031"/>
    <w:rsid w:val="00BA576B"/>
    <w:rsid w:val="00BB001C"/>
    <w:rsid w:val="00BB1B4D"/>
    <w:rsid w:val="00BB23F4"/>
    <w:rsid w:val="00BB35C0"/>
    <w:rsid w:val="00BB3B20"/>
    <w:rsid w:val="00BB476A"/>
    <w:rsid w:val="00BB4872"/>
    <w:rsid w:val="00BB5CE8"/>
    <w:rsid w:val="00BB69A8"/>
    <w:rsid w:val="00BB7411"/>
    <w:rsid w:val="00BC1690"/>
    <w:rsid w:val="00BC4C43"/>
    <w:rsid w:val="00BC59F3"/>
    <w:rsid w:val="00BD01DC"/>
    <w:rsid w:val="00BD126F"/>
    <w:rsid w:val="00BD1EB4"/>
    <w:rsid w:val="00BD4684"/>
    <w:rsid w:val="00BD530F"/>
    <w:rsid w:val="00BD5C44"/>
    <w:rsid w:val="00BE00B4"/>
    <w:rsid w:val="00BE7298"/>
    <w:rsid w:val="00BF4334"/>
    <w:rsid w:val="00BF76FE"/>
    <w:rsid w:val="00C017E3"/>
    <w:rsid w:val="00C02937"/>
    <w:rsid w:val="00C03FBD"/>
    <w:rsid w:val="00C04486"/>
    <w:rsid w:val="00C10CC3"/>
    <w:rsid w:val="00C11851"/>
    <w:rsid w:val="00C13E96"/>
    <w:rsid w:val="00C146FB"/>
    <w:rsid w:val="00C15EFF"/>
    <w:rsid w:val="00C219C7"/>
    <w:rsid w:val="00C24B54"/>
    <w:rsid w:val="00C26C2F"/>
    <w:rsid w:val="00C26D10"/>
    <w:rsid w:val="00C32352"/>
    <w:rsid w:val="00C33647"/>
    <w:rsid w:val="00C37580"/>
    <w:rsid w:val="00C40841"/>
    <w:rsid w:val="00C4493C"/>
    <w:rsid w:val="00C44A77"/>
    <w:rsid w:val="00C47080"/>
    <w:rsid w:val="00C518D7"/>
    <w:rsid w:val="00C52836"/>
    <w:rsid w:val="00C53B85"/>
    <w:rsid w:val="00C6048B"/>
    <w:rsid w:val="00C6162E"/>
    <w:rsid w:val="00C6187C"/>
    <w:rsid w:val="00C62B71"/>
    <w:rsid w:val="00C62EA3"/>
    <w:rsid w:val="00C66044"/>
    <w:rsid w:val="00C704A2"/>
    <w:rsid w:val="00C71F85"/>
    <w:rsid w:val="00C72A16"/>
    <w:rsid w:val="00C72B3A"/>
    <w:rsid w:val="00C7407C"/>
    <w:rsid w:val="00C76305"/>
    <w:rsid w:val="00C81826"/>
    <w:rsid w:val="00C83CC9"/>
    <w:rsid w:val="00C85043"/>
    <w:rsid w:val="00C85590"/>
    <w:rsid w:val="00C85766"/>
    <w:rsid w:val="00C85E67"/>
    <w:rsid w:val="00C951CD"/>
    <w:rsid w:val="00C95375"/>
    <w:rsid w:val="00CA1901"/>
    <w:rsid w:val="00CA7ED4"/>
    <w:rsid w:val="00CB1EE3"/>
    <w:rsid w:val="00CB54B1"/>
    <w:rsid w:val="00CB5811"/>
    <w:rsid w:val="00CC100C"/>
    <w:rsid w:val="00CC2BA8"/>
    <w:rsid w:val="00CC2F28"/>
    <w:rsid w:val="00CC34A3"/>
    <w:rsid w:val="00CC402F"/>
    <w:rsid w:val="00CD120F"/>
    <w:rsid w:val="00CD15BB"/>
    <w:rsid w:val="00CD717E"/>
    <w:rsid w:val="00CE2600"/>
    <w:rsid w:val="00CE37D3"/>
    <w:rsid w:val="00CF0ED3"/>
    <w:rsid w:val="00CF2FBA"/>
    <w:rsid w:val="00CF3E00"/>
    <w:rsid w:val="00CF5F56"/>
    <w:rsid w:val="00CF7685"/>
    <w:rsid w:val="00CF7D0F"/>
    <w:rsid w:val="00D00307"/>
    <w:rsid w:val="00D0045F"/>
    <w:rsid w:val="00D01359"/>
    <w:rsid w:val="00D035F4"/>
    <w:rsid w:val="00D05E04"/>
    <w:rsid w:val="00D110D2"/>
    <w:rsid w:val="00D13FC1"/>
    <w:rsid w:val="00D16013"/>
    <w:rsid w:val="00D171C1"/>
    <w:rsid w:val="00D17D99"/>
    <w:rsid w:val="00D208C0"/>
    <w:rsid w:val="00D26A66"/>
    <w:rsid w:val="00D3233E"/>
    <w:rsid w:val="00D356F0"/>
    <w:rsid w:val="00D36A22"/>
    <w:rsid w:val="00D41B83"/>
    <w:rsid w:val="00D420A3"/>
    <w:rsid w:val="00D44910"/>
    <w:rsid w:val="00D47176"/>
    <w:rsid w:val="00D51252"/>
    <w:rsid w:val="00D514CE"/>
    <w:rsid w:val="00D51805"/>
    <w:rsid w:val="00D53835"/>
    <w:rsid w:val="00D552DD"/>
    <w:rsid w:val="00D55ED4"/>
    <w:rsid w:val="00D55F56"/>
    <w:rsid w:val="00D56964"/>
    <w:rsid w:val="00D57DCB"/>
    <w:rsid w:val="00D6069A"/>
    <w:rsid w:val="00D606B9"/>
    <w:rsid w:val="00D609C3"/>
    <w:rsid w:val="00D63B9D"/>
    <w:rsid w:val="00D63E2C"/>
    <w:rsid w:val="00D64C73"/>
    <w:rsid w:val="00D674DB"/>
    <w:rsid w:val="00D67754"/>
    <w:rsid w:val="00D67A35"/>
    <w:rsid w:val="00D67BCF"/>
    <w:rsid w:val="00D67C50"/>
    <w:rsid w:val="00D73D5D"/>
    <w:rsid w:val="00D765E3"/>
    <w:rsid w:val="00D77E74"/>
    <w:rsid w:val="00D80906"/>
    <w:rsid w:val="00D80A9E"/>
    <w:rsid w:val="00D8140F"/>
    <w:rsid w:val="00D81640"/>
    <w:rsid w:val="00D85DC8"/>
    <w:rsid w:val="00D85F45"/>
    <w:rsid w:val="00D8735A"/>
    <w:rsid w:val="00D87450"/>
    <w:rsid w:val="00D9174B"/>
    <w:rsid w:val="00D922C4"/>
    <w:rsid w:val="00D94C8A"/>
    <w:rsid w:val="00D9689F"/>
    <w:rsid w:val="00D96D0F"/>
    <w:rsid w:val="00DA10CC"/>
    <w:rsid w:val="00DA41C9"/>
    <w:rsid w:val="00DA41F0"/>
    <w:rsid w:val="00DA48B1"/>
    <w:rsid w:val="00DB430D"/>
    <w:rsid w:val="00DB71E4"/>
    <w:rsid w:val="00DB7F1B"/>
    <w:rsid w:val="00DC515B"/>
    <w:rsid w:val="00DC65AF"/>
    <w:rsid w:val="00DC6C94"/>
    <w:rsid w:val="00DD1DF0"/>
    <w:rsid w:val="00DD4AC3"/>
    <w:rsid w:val="00DD7808"/>
    <w:rsid w:val="00DE3A99"/>
    <w:rsid w:val="00DE4F55"/>
    <w:rsid w:val="00DE5836"/>
    <w:rsid w:val="00DE5DBE"/>
    <w:rsid w:val="00DE7485"/>
    <w:rsid w:val="00DF37F4"/>
    <w:rsid w:val="00DF56F2"/>
    <w:rsid w:val="00DF7376"/>
    <w:rsid w:val="00DF7D0D"/>
    <w:rsid w:val="00E01B62"/>
    <w:rsid w:val="00E0623C"/>
    <w:rsid w:val="00E1179F"/>
    <w:rsid w:val="00E13C03"/>
    <w:rsid w:val="00E1418C"/>
    <w:rsid w:val="00E164C8"/>
    <w:rsid w:val="00E171FE"/>
    <w:rsid w:val="00E21E1D"/>
    <w:rsid w:val="00E24F7B"/>
    <w:rsid w:val="00E2632C"/>
    <w:rsid w:val="00E27A8D"/>
    <w:rsid w:val="00E30143"/>
    <w:rsid w:val="00E31A95"/>
    <w:rsid w:val="00E3260A"/>
    <w:rsid w:val="00E32CE3"/>
    <w:rsid w:val="00E34258"/>
    <w:rsid w:val="00E3664A"/>
    <w:rsid w:val="00E410BE"/>
    <w:rsid w:val="00E417C9"/>
    <w:rsid w:val="00E41D1C"/>
    <w:rsid w:val="00E4320F"/>
    <w:rsid w:val="00E43680"/>
    <w:rsid w:val="00E43A9F"/>
    <w:rsid w:val="00E46C15"/>
    <w:rsid w:val="00E50D72"/>
    <w:rsid w:val="00E5135C"/>
    <w:rsid w:val="00E52808"/>
    <w:rsid w:val="00E52F2C"/>
    <w:rsid w:val="00E54238"/>
    <w:rsid w:val="00E551D8"/>
    <w:rsid w:val="00E57970"/>
    <w:rsid w:val="00E6021A"/>
    <w:rsid w:val="00E63689"/>
    <w:rsid w:val="00E636D7"/>
    <w:rsid w:val="00E63984"/>
    <w:rsid w:val="00E63D65"/>
    <w:rsid w:val="00E6411A"/>
    <w:rsid w:val="00E64CD7"/>
    <w:rsid w:val="00E6584E"/>
    <w:rsid w:val="00E65AB8"/>
    <w:rsid w:val="00E661CA"/>
    <w:rsid w:val="00E67B55"/>
    <w:rsid w:val="00E701BE"/>
    <w:rsid w:val="00E778D8"/>
    <w:rsid w:val="00E8332F"/>
    <w:rsid w:val="00E8345F"/>
    <w:rsid w:val="00E834A5"/>
    <w:rsid w:val="00E845A2"/>
    <w:rsid w:val="00E85312"/>
    <w:rsid w:val="00E8589D"/>
    <w:rsid w:val="00E86BD7"/>
    <w:rsid w:val="00E86E6A"/>
    <w:rsid w:val="00E876CD"/>
    <w:rsid w:val="00E90A97"/>
    <w:rsid w:val="00E9526C"/>
    <w:rsid w:val="00E96AF4"/>
    <w:rsid w:val="00E97B58"/>
    <w:rsid w:val="00EA112B"/>
    <w:rsid w:val="00EA209C"/>
    <w:rsid w:val="00EA3D6B"/>
    <w:rsid w:val="00EA695F"/>
    <w:rsid w:val="00EA6CE1"/>
    <w:rsid w:val="00EA7D31"/>
    <w:rsid w:val="00EB0BD6"/>
    <w:rsid w:val="00EB3434"/>
    <w:rsid w:val="00EB43A9"/>
    <w:rsid w:val="00EB4513"/>
    <w:rsid w:val="00EB6500"/>
    <w:rsid w:val="00EC0BA5"/>
    <w:rsid w:val="00EC1F16"/>
    <w:rsid w:val="00EC3F5C"/>
    <w:rsid w:val="00EC41C4"/>
    <w:rsid w:val="00EC51A2"/>
    <w:rsid w:val="00EC77F8"/>
    <w:rsid w:val="00EC7CD5"/>
    <w:rsid w:val="00ED1245"/>
    <w:rsid w:val="00EE0090"/>
    <w:rsid w:val="00EE3896"/>
    <w:rsid w:val="00EE530C"/>
    <w:rsid w:val="00EE6105"/>
    <w:rsid w:val="00EF7BDE"/>
    <w:rsid w:val="00F000CC"/>
    <w:rsid w:val="00F018A9"/>
    <w:rsid w:val="00F0229E"/>
    <w:rsid w:val="00F039D6"/>
    <w:rsid w:val="00F04956"/>
    <w:rsid w:val="00F053BA"/>
    <w:rsid w:val="00F05CDD"/>
    <w:rsid w:val="00F070A0"/>
    <w:rsid w:val="00F0745E"/>
    <w:rsid w:val="00F07A50"/>
    <w:rsid w:val="00F11BA0"/>
    <w:rsid w:val="00F1235B"/>
    <w:rsid w:val="00F14A08"/>
    <w:rsid w:val="00F152AB"/>
    <w:rsid w:val="00F166B0"/>
    <w:rsid w:val="00F20BA4"/>
    <w:rsid w:val="00F20C47"/>
    <w:rsid w:val="00F22DE6"/>
    <w:rsid w:val="00F23255"/>
    <w:rsid w:val="00F232BA"/>
    <w:rsid w:val="00F24377"/>
    <w:rsid w:val="00F2620E"/>
    <w:rsid w:val="00F27836"/>
    <w:rsid w:val="00F324A0"/>
    <w:rsid w:val="00F32D28"/>
    <w:rsid w:val="00F335D9"/>
    <w:rsid w:val="00F3643C"/>
    <w:rsid w:val="00F41A2D"/>
    <w:rsid w:val="00F428BE"/>
    <w:rsid w:val="00F4467A"/>
    <w:rsid w:val="00F449E9"/>
    <w:rsid w:val="00F47F1C"/>
    <w:rsid w:val="00F503CA"/>
    <w:rsid w:val="00F50AF6"/>
    <w:rsid w:val="00F55B71"/>
    <w:rsid w:val="00F56DB8"/>
    <w:rsid w:val="00F618CD"/>
    <w:rsid w:val="00F627A5"/>
    <w:rsid w:val="00F64FBB"/>
    <w:rsid w:val="00F664CC"/>
    <w:rsid w:val="00F66D7C"/>
    <w:rsid w:val="00F70D1C"/>
    <w:rsid w:val="00F71F41"/>
    <w:rsid w:val="00F73B05"/>
    <w:rsid w:val="00F75DD5"/>
    <w:rsid w:val="00F76311"/>
    <w:rsid w:val="00F764FA"/>
    <w:rsid w:val="00F77296"/>
    <w:rsid w:val="00F776F9"/>
    <w:rsid w:val="00F80A47"/>
    <w:rsid w:val="00F81F87"/>
    <w:rsid w:val="00F8238B"/>
    <w:rsid w:val="00F82DE5"/>
    <w:rsid w:val="00F833ED"/>
    <w:rsid w:val="00F856EC"/>
    <w:rsid w:val="00F864E8"/>
    <w:rsid w:val="00F91783"/>
    <w:rsid w:val="00F92394"/>
    <w:rsid w:val="00F92DD2"/>
    <w:rsid w:val="00F92F0B"/>
    <w:rsid w:val="00F95622"/>
    <w:rsid w:val="00F95FF6"/>
    <w:rsid w:val="00F9626D"/>
    <w:rsid w:val="00F97413"/>
    <w:rsid w:val="00FA3721"/>
    <w:rsid w:val="00FA6E7C"/>
    <w:rsid w:val="00FA7C0A"/>
    <w:rsid w:val="00FB3A3B"/>
    <w:rsid w:val="00FB5AC1"/>
    <w:rsid w:val="00FB76CA"/>
    <w:rsid w:val="00FC10EC"/>
    <w:rsid w:val="00FC22D9"/>
    <w:rsid w:val="00FC2820"/>
    <w:rsid w:val="00FC7288"/>
    <w:rsid w:val="00FC78D9"/>
    <w:rsid w:val="00FD0A17"/>
    <w:rsid w:val="00FD3242"/>
    <w:rsid w:val="00FD3805"/>
    <w:rsid w:val="00FD3AF5"/>
    <w:rsid w:val="00FD6446"/>
    <w:rsid w:val="00FE5491"/>
    <w:rsid w:val="00FE6536"/>
    <w:rsid w:val="00FF0A56"/>
    <w:rsid w:val="00FF18A8"/>
    <w:rsid w:val="00FF2AB9"/>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F4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9A1CBD"/>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9A1CBD"/>
    <w:pPr>
      <w:keepNext/>
      <w:pageBreakBefore/>
      <w:numPr>
        <w:numId w:val="2"/>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9A1CBD"/>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9A1CBD"/>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9A1CBD"/>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9A1CBD"/>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9A1CBD"/>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9A1CBD"/>
    <w:pPr>
      <w:numPr>
        <w:ilvl w:val="4"/>
      </w:numPr>
      <w:tabs>
        <w:tab w:val="left" w:pos="2835"/>
      </w:tabs>
      <w:outlineLvl w:val="6"/>
    </w:pPr>
    <w:rPr>
      <w:iCs/>
    </w:rPr>
  </w:style>
  <w:style w:type="paragraph" w:styleId="Heading8">
    <w:name w:val="heading 8"/>
    <w:basedOn w:val="Heading7"/>
    <w:next w:val="BodyText"/>
    <w:link w:val="Heading8Char"/>
    <w:uiPriority w:val="12"/>
    <w:qFormat/>
    <w:rsid w:val="009A1CBD"/>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9A1CBD"/>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9A1CBD"/>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9A1CBD"/>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9A1CBD"/>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9A1CBD"/>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9A1CBD"/>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9A1CBD"/>
    <w:rPr>
      <w:rFonts w:ascii="Arial" w:hAnsi="Arial"/>
      <w:sz w:val="20"/>
    </w:rPr>
  </w:style>
  <w:style w:type="paragraph" w:styleId="TOC1">
    <w:name w:val="toc 1"/>
    <w:basedOn w:val="Normal"/>
    <w:next w:val="BodyText"/>
    <w:uiPriority w:val="39"/>
    <w:qFormat/>
    <w:rsid w:val="009A1CBD"/>
    <w:pPr>
      <w:keepLines/>
      <w:tabs>
        <w:tab w:val="right" w:pos="7209"/>
      </w:tabs>
      <w:spacing w:after="80"/>
      <w:ind w:left="454" w:right="1245" w:hanging="454"/>
    </w:pPr>
    <w:rPr>
      <w:noProof/>
      <w:sz w:val="22"/>
    </w:rPr>
  </w:style>
  <w:style w:type="paragraph" w:styleId="TOC2">
    <w:name w:val="toc 2"/>
    <w:basedOn w:val="TOC1"/>
    <w:next w:val="BodyText"/>
    <w:uiPriority w:val="39"/>
    <w:qFormat/>
    <w:rsid w:val="009A1CBD"/>
    <w:pPr>
      <w:spacing w:before="80"/>
      <w:ind w:left="1134" w:hanging="680"/>
    </w:pPr>
  </w:style>
  <w:style w:type="paragraph" w:styleId="TOC3">
    <w:name w:val="toc 3"/>
    <w:basedOn w:val="TOC2"/>
    <w:next w:val="BodyText"/>
    <w:uiPriority w:val="39"/>
    <w:qFormat/>
    <w:rsid w:val="009A1CBD"/>
    <w:pPr>
      <w:ind w:left="1985" w:hanging="851"/>
    </w:pPr>
  </w:style>
  <w:style w:type="paragraph" w:styleId="TOC4">
    <w:name w:val="toc 4"/>
    <w:basedOn w:val="TOC1"/>
    <w:next w:val="BodyText"/>
    <w:uiPriority w:val="99"/>
    <w:rsid w:val="009A1CBD"/>
    <w:pPr>
      <w:spacing w:before="80"/>
      <w:ind w:left="0" w:firstLine="0"/>
    </w:pPr>
  </w:style>
  <w:style w:type="paragraph" w:styleId="TOC5">
    <w:name w:val="toc 5"/>
    <w:basedOn w:val="TOC2"/>
    <w:next w:val="BodyText"/>
    <w:uiPriority w:val="99"/>
    <w:rsid w:val="009A1CBD"/>
  </w:style>
  <w:style w:type="paragraph" w:styleId="TOC6">
    <w:name w:val="toc 6"/>
    <w:basedOn w:val="TOC3"/>
    <w:next w:val="BodyText"/>
    <w:uiPriority w:val="99"/>
    <w:rsid w:val="009A1CBD"/>
  </w:style>
  <w:style w:type="character" w:customStyle="1" w:styleId="Heading4Char">
    <w:name w:val="Heading 4 Char"/>
    <w:basedOn w:val="DefaultParagraphFont"/>
    <w:link w:val="Heading4"/>
    <w:uiPriority w:val="9"/>
    <w:rsid w:val="009A1CBD"/>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9A1CBD"/>
    <w:pPr>
      <w:ind w:left="1418" w:hanging="1418"/>
    </w:pPr>
  </w:style>
  <w:style w:type="character" w:customStyle="1" w:styleId="Heading5Char">
    <w:name w:val="Heading 5 Char"/>
    <w:aliases w:val="(Main Heading) Char"/>
    <w:basedOn w:val="DefaultParagraphFont"/>
    <w:link w:val="Heading5"/>
    <w:uiPriority w:val="10"/>
    <w:rsid w:val="009A1CBD"/>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9A1CBD"/>
    <w:pPr>
      <w:spacing w:before="80"/>
      <w:ind w:left="1134" w:hanging="680"/>
    </w:pPr>
  </w:style>
  <w:style w:type="character" w:customStyle="1" w:styleId="Heading6Char">
    <w:name w:val="Heading 6 Char"/>
    <w:aliases w:val="(Subheading) Char"/>
    <w:basedOn w:val="DefaultParagraphFont"/>
    <w:link w:val="Heading6"/>
    <w:uiPriority w:val="11"/>
    <w:rsid w:val="009A1CBD"/>
    <w:rPr>
      <w:rFonts w:ascii="Arial" w:eastAsiaTheme="majorEastAsia" w:hAnsi="Arial" w:cstheme="minorHAnsi"/>
      <w:b/>
      <w:color w:val="796E65" w:themeColor="accent4"/>
      <w:sz w:val="20"/>
    </w:rPr>
  </w:style>
  <w:style w:type="paragraph" w:styleId="TOC9">
    <w:name w:val="toc 9"/>
    <w:basedOn w:val="TOC8"/>
    <w:next w:val="BodyText"/>
    <w:uiPriority w:val="39"/>
    <w:rsid w:val="009A1CBD"/>
    <w:pPr>
      <w:ind w:left="1985" w:hanging="851"/>
    </w:pPr>
  </w:style>
  <w:style w:type="paragraph" w:styleId="TOCHeading">
    <w:name w:val="TOC Heading"/>
    <w:basedOn w:val="Heading1"/>
    <w:next w:val="BodyText"/>
    <w:uiPriority w:val="99"/>
    <w:qFormat/>
    <w:rsid w:val="009A1CBD"/>
    <w:pPr>
      <w:numPr>
        <w:numId w:val="0"/>
      </w:numPr>
      <w:outlineLvl w:val="9"/>
    </w:pPr>
  </w:style>
  <w:style w:type="paragraph" w:customStyle="1" w:styleId="BodyIndent2">
    <w:name w:val="Body Indent 2"/>
    <w:basedOn w:val="BodyBullet2"/>
    <w:uiPriority w:val="99"/>
    <w:rsid w:val="009A1CBD"/>
    <w:pPr>
      <w:numPr>
        <w:ilvl w:val="0"/>
        <w:numId w:val="0"/>
      </w:numPr>
      <w:ind w:left="680"/>
    </w:pPr>
  </w:style>
  <w:style w:type="paragraph" w:customStyle="1" w:styleId="BodyIndent3">
    <w:name w:val="Body Indent 3"/>
    <w:basedOn w:val="BodyBullet3"/>
    <w:uiPriority w:val="99"/>
    <w:rsid w:val="009A1CBD"/>
    <w:pPr>
      <w:numPr>
        <w:ilvl w:val="0"/>
        <w:numId w:val="0"/>
      </w:numPr>
      <w:ind w:left="1021"/>
    </w:pPr>
  </w:style>
  <w:style w:type="character" w:styleId="EndnoteReference">
    <w:name w:val="endnote reference"/>
    <w:basedOn w:val="DefaultParagraphFont"/>
    <w:uiPriority w:val="99"/>
    <w:rsid w:val="009A1CBD"/>
    <w:rPr>
      <w:vertAlign w:val="superscript"/>
    </w:rPr>
  </w:style>
  <w:style w:type="paragraph" w:styleId="ListBullet">
    <w:name w:val="List Bullet"/>
    <w:basedOn w:val="BodyText"/>
    <w:uiPriority w:val="99"/>
    <w:semiHidden/>
    <w:rsid w:val="009A1CBD"/>
    <w:pPr>
      <w:numPr>
        <w:numId w:val="3"/>
      </w:numPr>
      <w:spacing w:before="120" w:after="120"/>
      <w:contextualSpacing/>
    </w:pPr>
  </w:style>
  <w:style w:type="table" w:styleId="TableGrid">
    <w:name w:val="Table Grid"/>
    <w:basedOn w:val="TableNormal"/>
    <w:uiPriority w:val="59"/>
    <w:rsid w:val="009A1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9A1CBD"/>
    <w:pPr>
      <w:spacing w:after="360" w:line="240" w:lineRule="auto"/>
    </w:pPr>
    <w:rPr>
      <w:color w:val="A59C94" w:themeColor="accent3"/>
      <w:sz w:val="18"/>
      <w:szCs w:val="18"/>
    </w:rPr>
  </w:style>
  <w:style w:type="paragraph" w:styleId="ListBullet2">
    <w:name w:val="List Bullet 2"/>
    <w:basedOn w:val="ListBullet"/>
    <w:uiPriority w:val="99"/>
    <w:semiHidden/>
    <w:rsid w:val="009A1CBD"/>
    <w:pPr>
      <w:numPr>
        <w:ilvl w:val="1"/>
      </w:numPr>
    </w:pPr>
  </w:style>
  <w:style w:type="paragraph" w:customStyle="1" w:styleId="TableText">
    <w:name w:val="Table Text"/>
    <w:uiPriority w:val="2"/>
    <w:qFormat/>
    <w:rsid w:val="009A1CBD"/>
    <w:pPr>
      <w:numPr>
        <w:numId w:val="7"/>
      </w:numPr>
      <w:spacing w:before="80" w:after="80" w:line="240" w:lineRule="auto"/>
    </w:pPr>
    <w:rPr>
      <w:rFonts w:ascii="Arial" w:hAnsi="Arial"/>
      <w:sz w:val="18"/>
      <w:szCs w:val="20"/>
    </w:rPr>
  </w:style>
  <w:style w:type="paragraph" w:styleId="EndnoteText">
    <w:name w:val="endnote text"/>
    <w:basedOn w:val="Normal"/>
    <w:link w:val="EndnoteTextChar"/>
    <w:uiPriority w:val="99"/>
    <w:rsid w:val="009A1CBD"/>
    <w:pPr>
      <w:keepLines/>
      <w:spacing w:line="240" w:lineRule="auto"/>
      <w:ind w:left="340" w:hanging="340"/>
    </w:pPr>
    <w:rPr>
      <w:sz w:val="18"/>
      <w:szCs w:val="18"/>
    </w:rPr>
  </w:style>
  <w:style w:type="paragraph" w:styleId="ListBullet3">
    <w:name w:val="List Bullet 3"/>
    <w:basedOn w:val="ListBullet2"/>
    <w:uiPriority w:val="99"/>
    <w:semiHidden/>
    <w:rsid w:val="009A1CBD"/>
    <w:pPr>
      <w:numPr>
        <w:ilvl w:val="2"/>
      </w:numPr>
    </w:pPr>
  </w:style>
  <w:style w:type="character" w:customStyle="1" w:styleId="EndnoteTextChar">
    <w:name w:val="Endnote Text Char"/>
    <w:basedOn w:val="DefaultParagraphFont"/>
    <w:link w:val="EndnoteText"/>
    <w:uiPriority w:val="99"/>
    <w:rsid w:val="009A1CBD"/>
    <w:rPr>
      <w:rFonts w:ascii="Arial" w:hAnsi="Arial"/>
      <w:sz w:val="18"/>
      <w:szCs w:val="18"/>
    </w:rPr>
  </w:style>
  <w:style w:type="paragraph" w:styleId="Footer">
    <w:name w:val="footer"/>
    <w:basedOn w:val="BodyText"/>
    <w:link w:val="FooterChar"/>
    <w:uiPriority w:val="99"/>
    <w:rsid w:val="009A1CBD"/>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9A1CBD"/>
    <w:rPr>
      <w:rFonts w:ascii="Arial" w:hAnsi="Arial" w:cstheme="minorHAnsi"/>
      <w:noProof/>
      <w:color w:val="000000" w:themeColor="text1"/>
      <w:sz w:val="16"/>
      <w:szCs w:val="18"/>
    </w:rPr>
  </w:style>
  <w:style w:type="character" w:styleId="FootnoteReference">
    <w:name w:val="footnote reference"/>
    <w:basedOn w:val="DefaultParagraphFont"/>
    <w:uiPriority w:val="99"/>
    <w:rsid w:val="009A1CBD"/>
    <w:rPr>
      <w:vertAlign w:val="superscript"/>
    </w:rPr>
  </w:style>
  <w:style w:type="paragraph" w:styleId="FootnoteText">
    <w:name w:val="footnote text"/>
    <w:basedOn w:val="Normal"/>
    <w:link w:val="FootnoteTextChar"/>
    <w:uiPriority w:val="99"/>
    <w:rsid w:val="009A1CBD"/>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9A1CBD"/>
    <w:rPr>
      <w:rFonts w:ascii="Arial" w:hAnsi="Arial"/>
      <w:sz w:val="18"/>
      <w:szCs w:val="18"/>
    </w:rPr>
  </w:style>
  <w:style w:type="paragraph" w:styleId="Header">
    <w:name w:val="header"/>
    <w:basedOn w:val="BodyText"/>
    <w:link w:val="HeaderChar"/>
    <w:uiPriority w:val="99"/>
    <w:rsid w:val="009A1CBD"/>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9A1CBD"/>
    <w:rPr>
      <w:rFonts w:ascii="Arial" w:hAnsi="Arial"/>
      <w:color w:val="00BAD4" w:themeColor="text2"/>
      <w:sz w:val="16"/>
      <w:szCs w:val="18"/>
    </w:rPr>
  </w:style>
  <w:style w:type="character" w:styleId="Hyperlink">
    <w:name w:val="Hyperlink"/>
    <w:basedOn w:val="DefaultParagraphFont"/>
    <w:uiPriority w:val="99"/>
    <w:rsid w:val="009A1CBD"/>
    <w:rPr>
      <w:color w:val="005C6A" w:themeColor="text2" w:themeShade="80"/>
      <w:u w:val="single"/>
    </w:rPr>
  </w:style>
  <w:style w:type="paragraph" w:styleId="ListNumber">
    <w:name w:val="List Number"/>
    <w:basedOn w:val="BodyText"/>
    <w:uiPriority w:val="99"/>
    <w:semiHidden/>
    <w:rsid w:val="009A1CBD"/>
    <w:pPr>
      <w:numPr>
        <w:numId w:val="4"/>
      </w:numPr>
      <w:contextualSpacing/>
    </w:pPr>
  </w:style>
  <w:style w:type="paragraph" w:styleId="ListNumber2">
    <w:name w:val="List Number 2"/>
    <w:basedOn w:val="ListNumber"/>
    <w:uiPriority w:val="99"/>
    <w:semiHidden/>
    <w:rsid w:val="009A1CBD"/>
    <w:pPr>
      <w:numPr>
        <w:numId w:val="5"/>
      </w:numPr>
    </w:pPr>
  </w:style>
  <w:style w:type="paragraph" w:styleId="ListNumber3">
    <w:name w:val="List Number 3"/>
    <w:basedOn w:val="List2"/>
    <w:uiPriority w:val="99"/>
    <w:semiHidden/>
    <w:rsid w:val="009A1CBD"/>
    <w:pPr>
      <w:numPr>
        <w:numId w:val="6"/>
      </w:numPr>
    </w:pPr>
  </w:style>
  <w:style w:type="character" w:styleId="PageNumber">
    <w:name w:val="page number"/>
    <w:basedOn w:val="DefaultParagraphFont"/>
    <w:uiPriority w:val="99"/>
    <w:semiHidden/>
    <w:rsid w:val="009A1CBD"/>
  </w:style>
  <w:style w:type="paragraph" w:styleId="List2">
    <w:name w:val="List 2"/>
    <w:basedOn w:val="Normal"/>
    <w:uiPriority w:val="99"/>
    <w:semiHidden/>
    <w:rsid w:val="009A1CBD"/>
    <w:pPr>
      <w:ind w:left="566" w:hanging="283"/>
      <w:contextualSpacing/>
    </w:pPr>
  </w:style>
  <w:style w:type="paragraph" w:styleId="TableofFigures">
    <w:name w:val="table of figures"/>
    <w:basedOn w:val="TOC1"/>
    <w:next w:val="BodyText"/>
    <w:uiPriority w:val="99"/>
    <w:rsid w:val="009A1CBD"/>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9A1CBD"/>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9A1CBD"/>
    <w:pPr>
      <w:numPr>
        <w:numId w:val="8"/>
      </w:numPr>
    </w:pPr>
  </w:style>
  <w:style w:type="paragraph" w:customStyle="1" w:styleId="TableBullet2">
    <w:name w:val="Table Bullet 2"/>
    <w:basedOn w:val="TableBullet1"/>
    <w:uiPriority w:val="3"/>
    <w:qFormat/>
    <w:rsid w:val="009A1CBD"/>
    <w:pPr>
      <w:numPr>
        <w:ilvl w:val="1"/>
      </w:numPr>
    </w:pPr>
  </w:style>
  <w:style w:type="paragraph" w:customStyle="1" w:styleId="BodyNumbering1">
    <w:name w:val="Body Numbering 1"/>
    <w:basedOn w:val="BodyBullet1"/>
    <w:uiPriority w:val="7"/>
    <w:qFormat/>
    <w:rsid w:val="009A1CBD"/>
    <w:pPr>
      <w:numPr>
        <w:ilvl w:val="3"/>
      </w:numPr>
    </w:pPr>
  </w:style>
  <w:style w:type="paragraph" w:customStyle="1" w:styleId="BodyNumbering2">
    <w:name w:val="Body Numbering 2"/>
    <w:basedOn w:val="BodyNumbering1"/>
    <w:uiPriority w:val="7"/>
    <w:qFormat/>
    <w:rsid w:val="009A1CBD"/>
    <w:pPr>
      <w:numPr>
        <w:ilvl w:val="4"/>
      </w:numPr>
    </w:pPr>
  </w:style>
  <w:style w:type="paragraph" w:customStyle="1" w:styleId="BodyBullet1">
    <w:name w:val="Body Bullet 1"/>
    <w:basedOn w:val="BodyText"/>
    <w:uiPriority w:val="1"/>
    <w:qFormat/>
    <w:rsid w:val="009A1CBD"/>
    <w:pPr>
      <w:numPr>
        <w:numId w:val="1"/>
      </w:numPr>
    </w:pPr>
  </w:style>
  <w:style w:type="paragraph" w:customStyle="1" w:styleId="BodyBullet2">
    <w:name w:val="Body Bullet 2"/>
    <w:basedOn w:val="BodyBullet1"/>
    <w:uiPriority w:val="1"/>
    <w:qFormat/>
    <w:rsid w:val="009A1CBD"/>
    <w:pPr>
      <w:numPr>
        <w:ilvl w:val="1"/>
      </w:numPr>
    </w:pPr>
  </w:style>
  <w:style w:type="paragraph" w:customStyle="1" w:styleId="BodyBullet3">
    <w:name w:val="Body Bullet 3"/>
    <w:basedOn w:val="BodyBullet2"/>
    <w:uiPriority w:val="1"/>
    <w:qFormat/>
    <w:rsid w:val="009A1CBD"/>
    <w:pPr>
      <w:numPr>
        <w:ilvl w:val="2"/>
      </w:numPr>
    </w:pPr>
  </w:style>
  <w:style w:type="paragraph" w:customStyle="1" w:styleId="BodyNumbering3">
    <w:name w:val="Body Numbering 3"/>
    <w:basedOn w:val="BodyNumbering2"/>
    <w:uiPriority w:val="7"/>
    <w:qFormat/>
    <w:rsid w:val="009A1CBD"/>
    <w:pPr>
      <w:numPr>
        <w:ilvl w:val="5"/>
      </w:numPr>
    </w:pPr>
  </w:style>
  <w:style w:type="paragraph" w:customStyle="1" w:styleId="BodyIndent1">
    <w:name w:val="Body Indent 1"/>
    <w:basedOn w:val="BodyBullet1"/>
    <w:uiPriority w:val="99"/>
    <w:rsid w:val="009A1CBD"/>
    <w:pPr>
      <w:numPr>
        <w:numId w:val="0"/>
      </w:numPr>
      <w:ind w:left="340"/>
    </w:pPr>
  </w:style>
  <w:style w:type="paragraph" w:customStyle="1" w:styleId="TableBullet3">
    <w:name w:val="Table Bullet 3"/>
    <w:basedOn w:val="TableBullet2"/>
    <w:uiPriority w:val="3"/>
    <w:qFormat/>
    <w:rsid w:val="009A1CBD"/>
    <w:pPr>
      <w:numPr>
        <w:ilvl w:val="2"/>
      </w:numPr>
    </w:pPr>
  </w:style>
  <w:style w:type="paragraph" w:customStyle="1" w:styleId="TableNumbering1">
    <w:name w:val="Table Numbering 1"/>
    <w:basedOn w:val="TableBullet1"/>
    <w:uiPriority w:val="99"/>
    <w:rsid w:val="009A1CBD"/>
    <w:pPr>
      <w:numPr>
        <w:ilvl w:val="3"/>
      </w:numPr>
    </w:pPr>
  </w:style>
  <w:style w:type="paragraph" w:customStyle="1" w:styleId="TableNumbering2">
    <w:name w:val="Table Numbering 2"/>
    <w:basedOn w:val="TableNumbering1"/>
    <w:uiPriority w:val="99"/>
    <w:rsid w:val="009A1CBD"/>
    <w:pPr>
      <w:numPr>
        <w:ilvl w:val="4"/>
      </w:numPr>
    </w:pPr>
  </w:style>
  <w:style w:type="paragraph" w:customStyle="1" w:styleId="TableNumbering3">
    <w:name w:val="Table Numbering 3"/>
    <w:basedOn w:val="TableNumbering2"/>
    <w:uiPriority w:val="99"/>
    <w:rsid w:val="009A1CBD"/>
    <w:pPr>
      <w:numPr>
        <w:ilvl w:val="5"/>
      </w:numPr>
    </w:pPr>
  </w:style>
  <w:style w:type="paragraph" w:customStyle="1" w:styleId="TableIndent1">
    <w:name w:val="Table Indent 1"/>
    <w:basedOn w:val="TableBullet1"/>
    <w:uiPriority w:val="99"/>
    <w:rsid w:val="009A1CBD"/>
    <w:pPr>
      <w:numPr>
        <w:numId w:val="0"/>
      </w:numPr>
      <w:ind w:left="340"/>
    </w:pPr>
  </w:style>
  <w:style w:type="paragraph" w:customStyle="1" w:styleId="TableIndent2">
    <w:name w:val="Table Indent 2"/>
    <w:basedOn w:val="TableBullet2"/>
    <w:uiPriority w:val="99"/>
    <w:rsid w:val="009A1CBD"/>
    <w:pPr>
      <w:numPr>
        <w:ilvl w:val="0"/>
        <w:numId w:val="0"/>
      </w:numPr>
      <w:ind w:left="680"/>
    </w:pPr>
  </w:style>
  <w:style w:type="paragraph" w:customStyle="1" w:styleId="TableIndent3">
    <w:name w:val="Table Indent 3"/>
    <w:basedOn w:val="TableBullet3"/>
    <w:uiPriority w:val="99"/>
    <w:rsid w:val="009A1CBD"/>
    <w:pPr>
      <w:numPr>
        <w:ilvl w:val="0"/>
        <w:numId w:val="0"/>
      </w:numPr>
      <w:ind w:left="1021"/>
    </w:pPr>
  </w:style>
  <w:style w:type="table" w:customStyle="1" w:styleId="MainTableStyle">
    <w:name w:val="Main Table Style"/>
    <w:basedOn w:val="TableNormal"/>
    <w:uiPriority w:val="99"/>
    <w:rsid w:val="009A1CB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9A1CBD"/>
    <w:pPr>
      <w:spacing w:before="0" w:after="0" w:line="240" w:lineRule="auto"/>
    </w:pPr>
  </w:style>
  <w:style w:type="table" w:customStyle="1" w:styleId="RowMainTableStyle">
    <w:name w:val="Row Main Table Style"/>
    <w:basedOn w:val="TableNormal"/>
    <w:uiPriority w:val="99"/>
    <w:rsid w:val="009A1CB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9A1CBD"/>
    <w:rPr>
      <w:color w:val="00BAD4" w:themeColor="text2"/>
    </w:rPr>
  </w:style>
  <w:style w:type="character" w:customStyle="1" w:styleId="CharacterStyle-BrightColour">
    <w:name w:val="Character Style - Bright Colour"/>
    <w:uiPriority w:val="11"/>
    <w:qFormat/>
    <w:rsid w:val="009A1CBD"/>
    <w:rPr>
      <w:color w:val="E52923" w:themeColor="background2"/>
    </w:rPr>
  </w:style>
  <w:style w:type="paragraph" w:customStyle="1" w:styleId="CoverTitle">
    <w:name w:val="Cover Title"/>
    <w:basedOn w:val="Normal"/>
    <w:next w:val="CoverSubtitle"/>
    <w:rsid w:val="009A1CBD"/>
    <w:pPr>
      <w:spacing w:before="0" w:after="0"/>
    </w:pPr>
    <w:rPr>
      <w:color w:val="000000" w:themeColor="text1"/>
      <w:sz w:val="40"/>
    </w:rPr>
  </w:style>
  <w:style w:type="paragraph" w:customStyle="1" w:styleId="CoverSubtitle">
    <w:name w:val="Cover Subtitle"/>
    <w:basedOn w:val="BodyText"/>
    <w:next w:val="CoverDate"/>
    <w:rsid w:val="009A1CBD"/>
    <w:pPr>
      <w:spacing w:before="40"/>
    </w:pPr>
    <w:rPr>
      <w:color w:val="00BAD4" w:themeColor="text2"/>
      <w:sz w:val="36"/>
      <w:szCs w:val="76"/>
    </w:rPr>
  </w:style>
  <w:style w:type="paragraph" w:customStyle="1" w:styleId="CoverDate">
    <w:name w:val="Cover Date"/>
    <w:basedOn w:val="Normal"/>
    <w:next w:val="BodyText"/>
    <w:rsid w:val="009A1CBD"/>
    <w:rPr>
      <w:color w:val="A59C94" w:themeColor="accent3"/>
      <w:sz w:val="28"/>
      <w:szCs w:val="48"/>
    </w:rPr>
  </w:style>
  <w:style w:type="paragraph" w:customStyle="1" w:styleId="Spacer">
    <w:name w:val="Spacer"/>
    <w:basedOn w:val="BodyTextSingleSpacing"/>
    <w:rsid w:val="009A1CBD"/>
    <w:pPr>
      <w:spacing w:before="160" w:after="160" w:line="280" w:lineRule="atLeast"/>
    </w:pPr>
  </w:style>
  <w:style w:type="paragraph" w:styleId="BalloonText">
    <w:name w:val="Balloon Text"/>
    <w:basedOn w:val="Normal"/>
    <w:link w:val="BalloonTextChar"/>
    <w:uiPriority w:val="99"/>
    <w:semiHidden/>
    <w:rsid w:val="009A1C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CBD"/>
    <w:rPr>
      <w:rFonts w:ascii="Tahoma" w:hAnsi="Tahoma" w:cs="Tahoma"/>
      <w:sz w:val="16"/>
      <w:szCs w:val="16"/>
    </w:rPr>
  </w:style>
  <w:style w:type="paragraph" w:customStyle="1" w:styleId="Heading1NoNumber">
    <w:name w:val="Heading 1 No Number"/>
    <w:basedOn w:val="Heading1"/>
    <w:next w:val="BodyText"/>
    <w:rsid w:val="009A1CBD"/>
    <w:pPr>
      <w:numPr>
        <w:numId w:val="0"/>
      </w:numPr>
    </w:pPr>
  </w:style>
  <w:style w:type="paragraph" w:styleId="Date">
    <w:name w:val="Date"/>
    <w:basedOn w:val="BodyText"/>
    <w:next w:val="BodyTextSingleSpacing"/>
    <w:link w:val="DateChar"/>
    <w:uiPriority w:val="99"/>
    <w:semiHidden/>
    <w:rsid w:val="009A1CBD"/>
    <w:pPr>
      <w:pageBreakBefore/>
      <w:spacing w:after="720"/>
    </w:pPr>
  </w:style>
  <w:style w:type="character" w:customStyle="1" w:styleId="DateChar">
    <w:name w:val="Date Char"/>
    <w:basedOn w:val="DefaultParagraphFont"/>
    <w:link w:val="Date"/>
    <w:uiPriority w:val="99"/>
    <w:semiHidden/>
    <w:rsid w:val="009A1CBD"/>
    <w:rPr>
      <w:rFonts w:ascii="Arial" w:hAnsi="Arial"/>
      <w:sz w:val="20"/>
    </w:rPr>
  </w:style>
  <w:style w:type="paragraph" w:styleId="Signature">
    <w:name w:val="Signature"/>
    <w:basedOn w:val="BodyText"/>
    <w:next w:val="BodyTextSingleSpacing"/>
    <w:link w:val="SignatureChar"/>
    <w:uiPriority w:val="99"/>
    <w:semiHidden/>
    <w:rsid w:val="009A1CBD"/>
    <w:pPr>
      <w:keepNext/>
      <w:spacing w:before="360" w:after="360"/>
    </w:pPr>
  </w:style>
  <w:style w:type="character" w:customStyle="1" w:styleId="SignatureChar">
    <w:name w:val="Signature Char"/>
    <w:basedOn w:val="DefaultParagraphFont"/>
    <w:link w:val="Signature"/>
    <w:uiPriority w:val="99"/>
    <w:semiHidden/>
    <w:rsid w:val="009A1CBD"/>
    <w:rPr>
      <w:rFonts w:ascii="Arial" w:hAnsi="Arial"/>
      <w:sz w:val="20"/>
    </w:rPr>
  </w:style>
  <w:style w:type="paragraph" w:customStyle="1" w:styleId="SubjectLine">
    <w:name w:val="Subject Line"/>
    <w:basedOn w:val="BodyText"/>
    <w:next w:val="BodyText"/>
    <w:semiHidden/>
    <w:rsid w:val="009A1CBD"/>
    <w:rPr>
      <w:b/>
      <w:caps/>
    </w:rPr>
  </w:style>
  <w:style w:type="paragraph" w:customStyle="1" w:styleId="Yourssincerely">
    <w:name w:val="Yours sincerely"/>
    <w:basedOn w:val="BodyText"/>
    <w:next w:val="Signature"/>
    <w:uiPriority w:val="99"/>
    <w:semiHidden/>
    <w:rsid w:val="009A1CBD"/>
    <w:pPr>
      <w:keepNext/>
    </w:pPr>
  </w:style>
  <w:style w:type="paragraph" w:customStyle="1" w:styleId="Disclaimer">
    <w:name w:val="Disclaimer"/>
    <w:basedOn w:val="Normal"/>
    <w:next w:val="BodyText"/>
    <w:semiHidden/>
    <w:rsid w:val="009A1CBD"/>
    <w:pPr>
      <w:spacing w:before="3000" w:line="240" w:lineRule="auto"/>
    </w:pPr>
    <w:rPr>
      <w:sz w:val="16"/>
      <w:szCs w:val="16"/>
    </w:rPr>
  </w:style>
  <w:style w:type="paragraph" w:styleId="TableofAuthorities">
    <w:name w:val="table of authorities"/>
    <w:basedOn w:val="TableofFigures"/>
    <w:next w:val="BodyText"/>
    <w:uiPriority w:val="99"/>
    <w:semiHidden/>
    <w:rsid w:val="009A1CBD"/>
  </w:style>
  <w:style w:type="paragraph" w:customStyle="1" w:styleId="Citationtext">
    <w:name w:val="Citation text"/>
    <w:basedOn w:val="BodyText"/>
    <w:rsid w:val="009A1CBD"/>
    <w:pPr>
      <w:spacing w:before="360" w:after="360"/>
    </w:pPr>
    <w:rPr>
      <w:i/>
      <w:color w:val="00BAD4" w:themeColor="text2"/>
      <w:sz w:val="24"/>
    </w:rPr>
  </w:style>
  <w:style w:type="character" w:customStyle="1" w:styleId="Heading8Char">
    <w:name w:val="Heading 8 Char"/>
    <w:basedOn w:val="DefaultParagraphFont"/>
    <w:link w:val="Heading8"/>
    <w:uiPriority w:val="12"/>
    <w:rsid w:val="009A1CBD"/>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9A1CBD"/>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9A1CBD"/>
    <w:pPr>
      <w:spacing w:after="360"/>
    </w:pPr>
  </w:style>
  <w:style w:type="character" w:styleId="PlaceholderText">
    <w:name w:val="Placeholder Text"/>
    <w:basedOn w:val="DefaultParagraphFont"/>
    <w:uiPriority w:val="99"/>
    <w:rsid w:val="009A1CBD"/>
    <w:rPr>
      <w:color w:val="808080"/>
    </w:rPr>
  </w:style>
  <w:style w:type="paragraph" w:styleId="Quote">
    <w:name w:val="Quote"/>
    <w:basedOn w:val="BodyText"/>
    <w:next w:val="BodyText"/>
    <w:link w:val="QuoteChar"/>
    <w:uiPriority w:val="9"/>
    <w:qFormat/>
    <w:rsid w:val="009A1CBD"/>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9A1CBD"/>
    <w:rPr>
      <w:rFonts w:ascii="Arial" w:hAnsi="Arial"/>
      <w:i/>
      <w:iCs/>
      <w:color w:val="00B398" w:themeColor="accent5"/>
      <w:sz w:val="20"/>
    </w:rPr>
  </w:style>
  <w:style w:type="paragraph" w:customStyle="1" w:styleId="PageNo">
    <w:name w:val="Page No"/>
    <w:basedOn w:val="Footer"/>
    <w:link w:val="PageNoChar"/>
    <w:rsid w:val="009A1CBD"/>
    <w:pPr>
      <w:jc w:val="right"/>
    </w:pPr>
  </w:style>
  <w:style w:type="paragraph" w:customStyle="1" w:styleId="TableHeadingWhiteFont">
    <w:name w:val="Table Heading White Font"/>
    <w:basedOn w:val="TableText"/>
    <w:rsid w:val="009A1CBD"/>
    <w:pPr>
      <w:numPr>
        <w:numId w:val="0"/>
      </w:numPr>
    </w:pPr>
    <w:rPr>
      <w:color w:val="FFFFFF" w:themeColor="background1"/>
    </w:rPr>
  </w:style>
  <w:style w:type="character" w:customStyle="1" w:styleId="PageNoChar">
    <w:name w:val="Page No Char"/>
    <w:basedOn w:val="FooterChar"/>
    <w:link w:val="PageNo"/>
    <w:rsid w:val="009A1CBD"/>
    <w:rPr>
      <w:rFonts w:ascii="Arial" w:hAnsi="Arial" w:cstheme="minorHAnsi"/>
      <w:noProof/>
      <w:color w:val="000000" w:themeColor="text1"/>
      <w:sz w:val="16"/>
      <w:szCs w:val="18"/>
    </w:rPr>
  </w:style>
  <w:style w:type="paragraph" w:customStyle="1" w:styleId="IntroText">
    <w:name w:val="Intro Text"/>
    <w:basedOn w:val="BodyText"/>
    <w:rsid w:val="009A1CBD"/>
    <w:pPr>
      <w:keepNext/>
      <w:spacing w:before="360" w:after="360"/>
    </w:pPr>
    <w:rPr>
      <w:color w:val="A59C94" w:themeColor="accent3"/>
      <w:sz w:val="28"/>
    </w:rPr>
  </w:style>
  <w:style w:type="paragraph" w:customStyle="1" w:styleId="Heading2NoNumber">
    <w:name w:val="Heading 2 No Number"/>
    <w:basedOn w:val="Heading2"/>
    <w:uiPriority w:val="99"/>
    <w:qFormat/>
    <w:rsid w:val="009A1CBD"/>
    <w:pPr>
      <w:numPr>
        <w:ilvl w:val="0"/>
        <w:numId w:val="0"/>
      </w:numPr>
    </w:pPr>
  </w:style>
  <w:style w:type="paragraph" w:customStyle="1" w:styleId="Heading3NoNumber">
    <w:name w:val="Heading 3 No Number"/>
    <w:basedOn w:val="Heading3"/>
    <w:uiPriority w:val="99"/>
    <w:qFormat/>
    <w:rsid w:val="009A1CBD"/>
    <w:pPr>
      <w:numPr>
        <w:ilvl w:val="0"/>
        <w:numId w:val="0"/>
      </w:numPr>
    </w:pPr>
  </w:style>
  <w:style w:type="paragraph" w:customStyle="1" w:styleId="Calloutheading">
    <w:name w:val="Callout heading"/>
    <w:basedOn w:val="BodyText"/>
    <w:uiPriority w:val="9"/>
    <w:qFormat/>
    <w:rsid w:val="009A1CBD"/>
    <w:pPr>
      <w:spacing w:before="0"/>
    </w:pPr>
    <w:rPr>
      <w:b/>
      <w:color w:val="95A61E" w:themeColor="accent1" w:themeShade="BF"/>
    </w:rPr>
  </w:style>
  <w:style w:type="paragraph" w:customStyle="1" w:styleId="ChapterTitle">
    <w:name w:val="Chapter Title"/>
    <w:basedOn w:val="BodyText"/>
    <w:uiPriority w:val="99"/>
    <w:qFormat/>
    <w:rsid w:val="009A1CBD"/>
    <w:rPr>
      <w:sz w:val="68"/>
    </w:rPr>
  </w:style>
  <w:style w:type="paragraph" w:customStyle="1" w:styleId="ChapterSubtitle">
    <w:name w:val="Chapter Subtitle"/>
    <w:basedOn w:val="ChapterTitle"/>
    <w:next w:val="BodyText"/>
    <w:uiPriority w:val="99"/>
    <w:qFormat/>
    <w:rsid w:val="009A1CBD"/>
    <w:rPr>
      <w:color w:val="796E65" w:themeColor="accent4"/>
      <w:sz w:val="56"/>
    </w:rPr>
  </w:style>
  <w:style w:type="character" w:customStyle="1" w:styleId="CharacterStyle-Italic">
    <w:name w:val="Character Style - Italic"/>
    <w:basedOn w:val="CharacterStyle-BrightColour"/>
    <w:uiPriority w:val="1"/>
    <w:qFormat/>
    <w:rsid w:val="009A1CBD"/>
    <w:rPr>
      <w:i/>
      <w:color w:val="auto"/>
    </w:rPr>
  </w:style>
  <w:style w:type="character" w:customStyle="1" w:styleId="CharacterStyle-Underline">
    <w:name w:val="Character Style - Underline"/>
    <w:basedOn w:val="DefaultParagraphFont"/>
    <w:uiPriority w:val="1"/>
    <w:qFormat/>
    <w:rsid w:val="009A1CBD"/>
    <w:rPr>
      <w:u w:val="single"/>
    </w:rPr>
  </w:style>
  <w:style w:type="character" w:customStyle="1" w:styleId="CharacterStyle-Bold">
    <w:name w:val="Character Style - Bold"/>
    <w:basedOn w:val="DefaultParagraphFont"/>
    <w:uiPriority w:val="1"/>
    <w:qFormat/>
    <w:rsid w:val="009A1CBD"/>
    <w:rPr>
      <w:b/>
    </w:rPr>
  </w:style>
  <w:style w:type="character" w:customStyle="1" w:styleId="CharacterStyle-Subscript">
    <w:name w:val="Character Style - Subscript"/>
    <w:basedOn w:val="DefaultParagraphFont"/>
    <w:uiPriority w:val="1"/>
    <w:qFormat/>
    <w:rsid w:val="009A1CBD"/>
    <w:rPr>
      <w:vertAlign w:val="subscript"/>
    </w:rPr>
  </w:style>
  <w:style w:type="character" w:customStyle="1" w:styleId="CharacterStyle-Superscript">
    <w:name w:val="Character Style - Superscript"/>
    <w:basedOn w:val="DefaultParagraphFont"/>
    <w:uiPriority w:val="1"/>
    <w:qFormat/>
    <w:rsid w:val="009A1CBD"/>
    <w:rPr>
      <w:vertAlign w:val="superscript"/>
    </w:rPr>
  </w:style>
  <w:style w:type="character" w:customStyle="1" w:styleId="CharacterStyle-Highlight">
    <w:name w:val="Character Style - Highlight"/>
    <w:basedOn w:val="DefaultParagraphFont"/>
    <w:uiPriority w:val="1"/>
    <w:qFormat/>
    <w:rsid w:val="009A1CBD"/>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9A1CBD"/>
    <w:rPr>
      <w:strike/>
      <w:dstrike w:val="0"/>
    </w:rPr>
  </w:style>
  <w:style w:type="paragraph" w:customStyle="1" w:styleId="Callouttext">
    <w:name w:val="Callout text"/>
    <w:basedOn w:val="Calloutheading"/>
    <w:uiPriority w:val="9"/>
    <w:qFormat/>
    <w:rsid w:val="009A1CBD"/>
    <w:pPr>
      <w:spacing w:before="100" w:after="100" w:line="240" w:lineRule="auto"/>
    </w:pPr>
    <w:rPr>
      <w:b w:val="0"/>
      <w:color w:val="796E65" w:themeColor="accent4"/>
      <w:sz w:val="18"/>
    </w:rPr>
  </w:style>
  <w:style w:type="character" w:styleId="FollowedHyperlink">
    <w:name w:val="FollowedHyperlink"/>
    <w:basedOn w:val="DefaultParagraphFont"/>
    <w:uiPriority w:val="99"/>
    <w:rsid w:val="009A1CBD"/>
    <w:rPr>
      <w:color w:val="A59C94" w:themeColor="accent3"/>
      <w:u w:val="single"/>
    </w:rPr>
  </w:style>
  <w:style w:type="character" w:customStyle="1" w:styleId="Callouttextcolour">
    <w:name w:val="Callout text colour"/>
    <w:basedOn w:val="DefaultParagraphFont"/>
    <w:uiPriority w:val="1"/>
    <w:qFormat/>
    <w:rsid w:val="009A1CBD"/>
    <w:rPr>
      <w:color w:val="796E65" w:themeColor="accent4"/>
      <w:lang w:val="en-GB"/>
    </w:rPr>
  </w:style>
  <w:style w:type="character" w:styleId="CommentReference">
    <w:name w:val="annotation reference"/>
    <w:basedOn w:val="DefaultParagraphFont"/>
    <w:uiPriority w:val="99"/>
    <w:semiHidden/>
    <w:rsid w:val="006A6D3D"/>
    <w:rPr>
      <w:sz w:val="16"/>
      <w:szCs w:val="16"/>
    </w:rPr>
  </w:style>
  <w:style w:type="paragraph" w:styleId="CommentText">
    <w:name w:val="annotation text"/>
    <w:basedOn w:val="Normal"/>
    <w:link w:val="CommentTextChar"/>
    <w:uiPriority w:val="99"/>
    <w:semiHidden/>
    <w:rsid w:val="006A6D3D"/>
    <w:pPr>
      <w:spacing w:line="240" w:lineRule="auto"/>
    </w:pPr>
    <w:rPr>
      <w:szCs w:val="20"/>
    </w:rPr>
  </w:style>
  <w:style w:type="character" w:customStyle="1" w:styleId="CommentTextChar">
    <w:name w:val="Comment Text Char"/>
    <w:basedOn w:val="DefaultParagraphFont"/>
    <w:link w:val="CommentText"/>
    <w:uiPriority w:val="99"/>
    <w:semiHidden/>
    <w:rsid w:val="006A6D3D"/>
    <w:rPr>
      <w:rFonts w:ascii="Arial" w:hAnsi="Arial"/>
      <w:sz w:val="20"/>
      <w:szCs w:val="20"/>
    </w:rPr>
  </w:style>
  <w:style w:type="paragraph" w:styleId="CommentSubject">
    <w:name w:val="annotation subject"/>
    <w:basedOn w:val="CommentText"/>
    <w:next w:val="CommentText"/>
    <w:link w:val="CommentSubjectChar"/>
    <w:uiPriority w:val="99"/>
    <w:semiHidden/>
    <w:rsid w:val="006A6D3D"/>
    <w:rPr>
      <w:b/>
      <w:bCs/>
    </w:rPr>
  </w:style>
  <w:style w:type="character" w:customStyle="1" w:styleId="CommentSubjectChar">
    <w:name w:val="Comment Subject Char"/>
    <w:basedOn w:val="CommentTextChar"/>
    <w:link w:val="CommentSubject"/>
    <w:uiPriority w:val="99"/>
    <w:semiHidden/>
    <w:rsid w:val="006A6D3D"/>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9A1CBD"/>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9A1CBD"/>
    <w:pPr>
      <w:keepNext/>
      <w:pageBreakBefore/>
      <w:numPr>
        <w:numId w:val="2"/>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9A1CBD"/>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9A1CBD"/>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9A1CBD"/>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9A1CBD"/>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9A1CBD"/>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9A1CBD"/>
    <w:pPr>
      <w:numPr>
        <w:ilvl w:val="4"/>
      </w:numPr>
      <w:tabs>
        <w:tab w:val="left" w:pos="2835"/>
      </w:tabs>
      <w:outlineLvl w:val="6"/>
    </w:pPr>
    <w:rPr>
      <w:iCs/>
    </w:rPr>
  </w:style>
  <w:style w:type="paragraph" w:styleId="Heading8">
    <w:name w:val="heading 8"/>
    <w:basedOn w:val="Heading7"/>
    <w:next w:val="BodyText"/>
    <w:link w:val="Heading8Char"/>
    <w:uiPriority w:val="12"/>
    <w:qFormat/>
    <w:rsid w:val="009A1CBD"/>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9A1CBD"/>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9A1CBD"/>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9A1CBD"/>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9A1CBD"/>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9A1CBD"/>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9A1CBD"/>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9A1CBD"/>
    <w:rPr>
      <w:rFonts w:ascii="Arial" w:hAnsi="Arial"/>
      <w:sz w:val="20"/>
    </w:rPr>
  </w:style>
  <w:style w:type="paragraph" w:styleId="TOC1">
    <w:name w:val="toc 1"/>
    <w:basedOn w:val="Normal"/>
    <w:next w:val="BodyText"/>
    <w:uiPriority w:val="39"/>
    <w:qFormat/>
    <w:rsid w:val="009A1CBD"/>
    <w:pPr>
      <w:keepLines/>
      <w:tabs>
        <w:tab w:val="right" w:pos="7209"/>
      </w:tabs>
      <w:spacing w:after="80"/>
      <w:ind w:left="454" w:right="1245" w:hanging="454"/>
    </w:pPr>
    <w:rPr>
      <w:noProof/>
      <w:sz w:val="22"/>
    </w:rPr>
  </w:style>
  <w:style w:type="paragraph" w:styleId="TOC2">
    <w:name w:val="toc 2"/>
    <w:basedOn w:val="TOC1"/>
    <w:next w:val="BodyText"/>
    <w:uiPriority w:val="39"/>
    <w:qFormat/>
    <w:rsid w:val="009A1CBD"/>
    <w:pPr>
      <w:spacing w:before="80"/>
      <w:ind w:left="1134" w:hanging="680"/>
    </w:pPr>
  </w:style>
  <w:style w:type="paragraph" w:styleId="TOC3">
    <w:name w:val="toc 3"/>
    <w:basedOn w:val="TOC2"/>
    <w:next w:val="BodyText"/>
    <w:uiPriority w:val="39"/>
    <w:qFormat/>
    <w:rsid w:val="009A1CBD"/>
    <w:pPr>
      <w:ind w:left="1985" w:hanging="851"/>
    </w:pPr>
  </w:style>
  <w:style w:type="paragraph" w:styleId="TOC4">
    <w:name w:val="toc 4"/>
    <w:basedOn w:val="TOC1"/>
    <w:next w:val="BodyText"/>
    <w:uiPriority w:val="99"/>
    <w:rsid w:val="009A1CBD"/>
    <w:pPr>
      <w:spacing w:before="80"/>
      <w:ind w:left="0" w:firstLine="0"/>
    </w:pPr>
  </w:style>
  <w:style w:type="paragraph" w:styleId="TOC5">
    <w:name w:val="toc 5"/>
    <w:basedOn w:val="TOC2"/>
    <w:next w:val="BodyText"/>
    <w:uiPriority w:val="99"/>
    <w:rsid w:val="009A1CBD"/>
  </w:style>
  <w:style w:type="paragraph" w:styleId="TOC6">
    <w:name w:val="toc 6"/>
    <w:basedOn w:val="TOC3"/>
    <w:next w:val="BodyText"/>
    <w:uiPriority w:val="99"/>
    <w:rsid w:val="009A1CBD"/>
  </w:style>
  <w:style w:type="character" w:customStyle="1" w:styleId="Heading4Char">
    <w:name w:val="Heading 4 Char"/>
    <w:basedOn w:val="DefaultParagraphFont"/>
    <w:link w:val="Heading4"/>
    <w:uiPriority w:val="9"/>
    <w:rsid w:val="009A1CBD"/>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9A1CBD"/>
    <w:pPr>
      <w:ind w:left="1418" w:hanging="1418"/>
    </w:pPr>
  </w:style>
  <w:style w:type="character" w:customStyle="1" w:styleId="Heading5Char">
    <w:name w:val="Heading 5 Char"/>
    <w:aliases w:val="(Main Heading) Char"/>
    <w:basedOn w:val="DefaultParagraphFont"/>
    <w:link w:val="Heading5"/>
    <w:uiPriority w:val="10"/>
    <w:rsid w:val="009A1CBD"/>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9A1CBD"/>
    <w:pPr>
      <w:spacing w:before="80"/>
      <w:ind w:left="1134" w:hanging="680"/>
    </w:pPr>
  </w:style>
  <w:style w:type="character" w:customStyle="1" w:styleId="Heading6Char">
    <w:name w:val="Heading 6 Char"/>
    <w:aliases w:val="(Subheading) Char"/>
    <w:basedOn w:val="DefaultParagraphFont"/>
    <w:link w:val="Heading6"/>
    <w:uiPriority w:val="11"/>
    <w:rsid w:val="009A1CBD"/>
    <w:rPr>
      <w:rFonts w:ascii="Arial" w:eastAsiaTheme="majorEastAsia" w:hAnsi="Arial" w:cstheme="minorHAnsi"/>
      <w:b/>
      <w:color w:val="796E65" w:themeColor="accent4"/>
      <w:sz w:val="20"/>
    </w:rPr>
  </w:style>
  <w:style w:type="paragraph" w:styleId="TOC9">
    <w:name w:val="toc 9"/>
    <w:basedOn w:val="TOC8"/>
    <w:next w:val="BodyText"/>
    <w:uiPriority w:val="39"/>
    <w:rsid w:val="009A1CBD"/>
    <w:pPr>
      <w:ind w:left="1985" w:hanging="851"/>
    </w:pPr>
  </w:style>
  <w:style w:type="paragraph" w:styleId="TOCHeading">
    <w:name w:val="TOC Heading"/>
    <w:basedOn w:val="Heading1"/>
    <w:next w:val="BodyText"/>
    <w:uiPriority w:val="99"/>
    <w:qFormat/>
    <w:rsid w:val="009A1CBD"/>
    <w:pPr>
      <w:numPr>
        <w:numId w:val="0"/>
      </w:numPr>
      <w:outlineLvl w:val="9"/>
    </w:pPr>
  </w:style>
  <w:style w:type="paragraph" w:customStyle="1" w:styleId="BodyIndent2">
    <w:name w:val="Body Indent 2"/>
    <w:basedOn w:val="BodyBullet2"/>
    <w:uiPriority w:val="99"/>
    <w:rsid w:val="009A1CBD"/>
    <w:pPr>
      <w:numPr>
        <w:ilvl w:val="0"/>
        <w:numId w:val="0"/>
      </w:numPr>
      <w:ind w:left="680"/>
    </w:pPr>
  </w:style>
  <w:style w:type="paragraph" w:customStyle="1" w:styleId="BodyIndent3">
    <w:name w:val="Body Indent 3"/>
    <w:basedOn w:val="BodyBullet3"/>
    <w:uiPriority w:val="99"/>
    <w:rsid w:val="009A1CBD"/>
    <w:pPr>
      <w:numPr>
        <w:ilvl w:val="0"/>
        <w:numId w:val="0"/>
      </w:numPr>
      <w:ind w:left="1021"/>
    </w:pPr>
  </w:style>
  <w:style w:type="character" w:styleId="EndnoteReference">
    <w:name w:val="endnote reference"/>
    <w:basedOn w:val="DefaultParagraphFont"/>
    <w:uiPriority w:val="99"/>
    <w:rsid w:val="009A1CBD"/>
    <w:rPr>
      <w:vertAlign w:val="superscript"/>
    </w:rPr>
  </w:style>
  <w:style w:type="paragraph" w:styleId="ListBullet">
    <w:name w:val="List Bullet"/>
    <w:basedOn w:val="BodyText"/>
    <w:uiPriority w:val="99"/>
    <w:semiHidden/>
    <w:rsid w:val="009A1CBD"/>
    <w:pPr>
      <w:numPr>
        <w:numId w:val="3"/>
      </w:numPr>
      <w:spacing w:before="120" w:after="120"/>
      <w:contextualSpacing/>
    </w:pPr>
  </w:style>
  <w:style w:type="table" w:styleId="TableGrid">
    <w:name w:val="Table Grid"/>
    <w:basedOn w:val="TableNormal"/>
    <w:uiPriority w:val="59"/>
    <w:rsid w:val="009A1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9A1CBD"/>
    <w:pPr>
      <w:spacing w:after="360" w:line="240" w:lineRule="auto"/>
    </w:pPr>
    <w:rPr>
      <w:color w:val="A59C94" w:themeColor="accent3"/>
      <w:sz w:val="18"/>
      <w:szCs w:val="18"/>
    </w:rPr>
  </w:style>
  <w:style w:type="paragraph" w:styleId="ListBullet2">
    <w:name w:val="List Bullet 2"/>
    <w:basedOn w:val="ListBullet"/>
    <w:uiPriority w:val="99"/>
    <w:semiHidden/>
    <w:rsid w:val="009A1CBD"/>
    <w:pPr>
      <w:numPr>
        <w:ilvl w:val="1"/>
      </w:numPr>
    </w:pPr>
  </w:style>
  <w:style w:type="paragraph" w:customStyle="1" w:styleId="TableText">
    <w:name w:val="Table Text"/>
    <w:uiPriority w:val="2"/>
    <w:qFormat/>
    <w:rsid w:val="009A1CBD"/>
    <w:pPr>
      <w:numPr>
        <w:numId w:val="7"/>
      </w:numPr>
      <w:spacing w:before="80" w:after="80" w:line="240" w:lineRule="auto"/>
    </w:pPr>
    <w:rPr>
      <w:rFonts w:ascii="Arial" w:hAnsi="Arial"/>
      <w:sz w:val="18"/>
      <w:szCs w:val="20"/>
    </w:rPr>
  </w:style>
  <w:style w:type="paragraph" w:styleId="EndnoteText">
    <w:name w:val="endnote text"/>
    <w:basedOn w:val="Normal"/>
    <w:link w:val="EndnoteTextChar"/>
    <w:uiPriority w:val="99"/>
    <w:rsid w:val="009A1CBD"/>
    <w:pPr>
      <w:keepLines/>
      <w:spacing w:line="240" w:lineRule="auto"/>
      <w:ind w:left="340" w:hanging="340"/>
    </w:pPr>
    <w:rPr>
      <w:sz w:val="18"/>
      <w:szCs w:val="18"/>
    </w:rPr>
  </w:style>
  <w:style w:type="paragraph" w:styleId="ListBullet3">
    <w:name w:val="List Bullet 3"/>
    <w:basedOn w:val="ListBullet2"/>
    <w:uiPriority w:val="99"/>
    <w:semiHidden/>
    <w:rsid w:val="009A1CBD"/>
    <w:pPr>
      <w:numPr>
        <w:ilvl w:val="2"/>
      </w:numPr>
    </w:pPr>
  </w:style>
  <w:style w:type="character" w:customStyle="1" w:styleId="EndnoteTextChar">
    <w:name w:val="Endnote Text Char"/>
    <w:basedOn w:val="DefaultParagraphFont"/>
    <w:link w:val="EndnoteText"/>
    <w:uiPriority w:val="99"/>
    <w:rsid w:val="009A1CBD"/>
    <w:rPr>
      <w:rFonts w:ascii="Arial" w:hAnsi="Arial"/>
      <w:sz w:val="18"/>
      <w:szCs w:val="18"/>
    </w:rPr>
  </w:style>
  <w:style w:type="paragraph" w:styleId="Footer">
    <w:name w:val="footer"/>
    <w:basedOn w:val="BodyText"/>
    <w:link w:val="FooterChar"/>
    <w:uiPriority w:val="99"/>
    <w:rsid w:val="009A1CBD"/>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9A1CBD"/>
    <w:rPr>
      <w:rFonts w:ascii="Arial" w:hAnsi="Arial" w:cstheme="minorHAnsi"/>
      <w:noProof/>
      <w:color w:val="000000" w:themeColor="text1"/>
      <w:sz w:val="16"/>
      <w:szCs w:val="18"/>
    </w:rPr>
  </w:style>
  <w:style w:type="character" w:styleId="FootnoteReference">
    <w:name w:val="footnote reference"/>
    <w:basedOn w:val="DefaultParagraphFont"/>
    <w:uiPriority w:val="99"/>
    <w:rsid w:val="009A1CBD"/>
    <w:rPr>
      <w:vertAlign w:val="superscript"/>
    </w:rPr>
  </w:style>
  <w:style w:type="paragraph" w:styleId="FootnoteText">
    <w:name w:val="footnote text"/>
    <w:basedOn w:val="Normal"/>
    <w:link w:val="FootnoteTextChar"/>
    <w:uiPriority w:val="99"/>
    <w:rsid w:val="009A1CBD"/>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9A1CBD"/>
    <w:rPr>
      <w:rFonts w:ascii="Arial" w:hAnsi="Arial"/>
      <w:sz w:val="18"/>
      <w:szCs w:val="18"/>
    </w:rPr>
  </w:style>
  <w:style w:type="paragraph" w:styleId="Header">
    <w:name w:val="header"/>
    <w:basedOn w:val="BodyText"/>
    <w:link w:val="HeaderChar"/>
    <w:uiPriority w:val="99"/>
    <w:rsid w:val="009A1CBD"/>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9A1CBD"/>
    <w:rPr>
      <w:rFonts w:ascii="Arial" w:hAnsi="Arial"/>
      <w:color w:val="00BAD4" w:themeColor="text2"/>
      <w:sz w:val="16"/>
      <w:szCs w:val="18"/>
    </w:rPr>
  </w:style>
  <w:style w:type="character" w:styleId="Hyperlink">
    <w:name w:val="Hyperlink"/>
    <w:basedOn w:val="DefaultParagraphFont"/>
    <w:uiPriority w:val="99"/>
    <w:rsid w:val="009A1CBD"/>
    <w:rPr>
      <w:color w:val="005C6A" w:themeColor="text2" w:themeShade="80"/>
      <w:u w:val="single"/>
    </w:rPr>
  </w:style>
  <w:style w:type="paragraph" w:styleId="ListNumber">
    <w:name w:val="List Number"/>
    <w:basedOn w:val="BodyText"/>
    <w:uiPriority w:val="99"/>
    <w:semiHidden/>
    <w:rsid w:val="009A1CBD"/>
    <w:pPr>
      <w:numPr>
        <w:numId w:val="4"/>
      </w:numPr>
      <w:contextualSpacing/>
    </w:pPr>
  </w:style>
  <w:style w:type="paragraph" w:styleId="ListNumber2">
    <w:name w:val="List Number 2"/>
    <w:basedOn w:val="ListNumber"/>
    <w:uiPriority w:val="99"/>
    <w:semiHidden/>
    <w:rsid w:val="009A1CBD"/>
    <w:pPr>
      <w:numPr>
        <w:numId w:val="5"/>
      </w:numPr>
    </w:pPr>
  </w:style>
  <w:style w:type="paragraph" w:styleId="ListNumber3">
    <w:name w:val="List Number 3"/>
    <w:basedOn w:val="List2"/>
    <w:uiPriority w:val="99"/>
    <w:semiHidden/>
    <w:rsid w:val="009A1CBD"/>
    <w:pPr>
      <w:numPr>
        <w:numId w:val="6"/>
      </w:numPr>
    </w:pPr>
  </w:style>
  <w:style w:type="character" w:styleId="PageNumber">
    <w:name w:val="page number"/>
    <w:basedOn w:val="DefaultParagraphFont"/>
    <w:uiPriority w:val="99"/>
    <w:semiHidden/>
    <w:rsid w:val="009A1CBD"/>
  </w:style>
  <w:style w:type="paragraph" w:styleId="List2">
    <w:name w:val="List 2"/>
    <w:basedOn w:val="Normal"/>
    <w:uiPriority w:val="99"/>
    <w:semiHidden/>
    <w:rsid w:val="009A1CBD"/>
    <w:pPr>
      <w:ind w:left="566" w:hanging="283"/>
      <w:contextualSpacing/>
    </w:pPr>
  </w:style>
  <w:style w:type="paragraph" w:styleId="TableofFigures">
    <w:name w:val="table of figures"/>
    <w:basedOn w:val="TOC1"/>
    <w:next w:val="BodyText"/>
    <w:uiPriority w:val="99"/>
    <w:rsid w:val="009A1CBD"/>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9A1CBD"/>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9A1CBD"/>
    <w:pPr>
      <w:numPr>
        <w:numId w:val="8"/>
      </w:numPr>
    </w:pPr>
  </w:style>
  <w:style w:type="paragraph" w:customStyle="1" w:styleId="TableBullet2">
    <w:name w:val="Table Bullet 2"/>
    <w:basedOn w:val="TableBullet1"/>
    <w:uiPriority w:val="3"/>
    <w:qFormat/>
    <w:rsid w:val="009A1CBD"/>
    <w:pPr>
      <w:numPr>
        <w:ilvl w:val="1"/>
      </w:numPr>
    </w:pPr>
  </w:style>
  <w:style w:type="paragraph" w:customStyle="1" w:styleId="BodyNumbering1">
    <w:name w:val="Body Numbering 1"/>
    <w:basedOn w:val="BodyBullet1"/>
    <w:uiPriority w:val="7"/>
    <w:qFormat/>
    <w:rsid w:val="009A1CBD"/>
    <w:pPr>
      <w:numPr>
        <w:ilvl w:val="3"/>
      </w:numPr>
    </w:pPr>
  </w:style>
  <w:style w:type="paragraph" w:customStyle="1" w:styleId="BodyNumbering2">
    <w:name w:val="Body Numbering 2"/>
    <w:basedOn w:val="BodyNumbering1"/>
    <w:uiPriority w:val="7"/>
    <w:qFormat/>
    <w:rsid w:val="009A1CBD"/>
    <w:pPr>
      <w:numPr>
        <w:ilvl w:val="4"/>
      </w:numPr>
    </w:pPr>
  </w:style>
  <w:style w:type="paragraph" w:customStyle="1" w:styleId="BodyBullet1">
    <w:name w:val="Body Bullet 1"/>
    <w:basedOn w:val="BodyText"/>
    <w:uiPriority w:val="1"/>
    <w:qFormat/>
    <w:rsid w:val="009A1CBD"/>
    <w:pPr>
      <w:numPr>
        <w:numId w:val="1"/>
      </w:numPr>
    </w:pPr>
  </w:style>
  <w:style w:type="paragraph" w:customStyle="1" w:styleId="BodyBullet2">
    <w:name w:val="Body Bullet 2"/>
    <w:basedOn w:val="BodyBullet1"/>
    <w:uiPriority w:val="1"/>
    <w:qFormat/>
    <w:rsid w:val="009A1CBD"/>
    <w:pPr>
      <w:numPr>
        <w:ilvl w:val="1"/>
      </w:numPr>
    </w:pPr>
  </w:style>
  <w:style w:type="paragraph" w:customStyle="1" w:styleId="BodyBullet3">
    <w:name w:val="Body Bullet 3"/>
    <w:basedOn w:val="BodyBullet2"/>
    <w:uiPriority w:val="1"/>
    <w:qFormat/>
    <w:rsid w:val="009A1CBD"/>
    <w:pPr>
      <w:numPr>
        <w:ilvl w:val="2"/>
      </w:numPr>
    </w:pPr>
  </w:style>
  <w:style w:type="paragraph" w:customStyle="1" w:styleId="BodyNumbering3">
    <w:name w:val="Body Numbering 3"/>
    <w:basedOn w:val="BodyNumbering2"/>
    <w:uiPriority w:val="7"/>
    <w:qFormat/>
    <w:rsid w:val="009A1CBD"/>
    <w:pPr>
      <w:numPr>
        <w:ilvl w:val="5"/>
      </w:numPr>
    </w:pPr>
  </w:style>
  <w:style w:type="paragraph" w:customStyle="1" w:styleId="BodyIndent1">
    <w:name w:val="Body Indent 1"/>
    <w:basedOn w:val="BodyBullet1"/>
    <w:uiPriority w:val="99"/>
    <w:rsid w:val="009A1CBD"/>
    <w:pPr>
      <w:numPr>
        <w:numId w:val="0"/>
      </w:numPr>
      <w:ind w:left="340"/>
    </w:pPr>
  </w:style>
  <w:style w:type="paragraph" w:customStyle="1" w:styleId="TableBullet3">
    <w:name w:val="Table Bullet 3"/>
    <w:basedOn w:val="TableBullet2"/>
    <w:uiPriority w:val="3"/>
    <w:qFormat/>
    <w:rsid w:val="009A1CBD"/>
    <w:pPr>
      <w:numPr>
        <w:ilvl w:val="2"/>
      </w:numPr>
    </w:pPr>
  </w:style>
  <w:style w:type="paragraph" w:customStyle="1" w:styleId="TableNumbering1">
    <w:name w:val="Table Numbering 1"/>
    <w:basedOn w:val="TableBullet1"/>
    <w:uiPriority w:val="99"/>
    <w:rsid w:val="009A1CBD"/>
    <w:pPr>
      <w:numPr>
        <w:ilvl w:val="3"/>
      </w:numPr>
    </w:pPr>
  </w:style>
  <w:style w:type="paragraph" w:customStyle="1" w:styleId="TableNumbering2">
    <w:name w:val="Table Numbering 2"/>
    <w:basedOn w:val="TableNumbering1"/>
    <w:uiPriority w:val="99"/>
    <w:rsid w:val="009A1CBD"/>
    <w:pPr>
      <w:numPr>
        <w:ilvl w:val="4"/>
      </w:numPr>
    </w:pPr>
  </w:style>
  <w:style w:type="paragraph" w:customStyle="1" w:styleId="TableNumbering3">
    <w:name w:val="Table Numbering 3"/>
    <w:basedOn w:val="TableNumbering2"/>
    <w:uiPriority w:val="99"/>
    <w:rsid w:val="009A1CBD"/>
    <w:pPr>
      <w:numPr>
        <w:ilvl w:val="5"/>
      </w:numPr>
    </w:pPr>
  </w:style>
  <w:style w:type="paragraph" w:customStyle="1" w:styleId="TableIndent1">
    <w:name w:val="Table Indent 1"/>
    <w:basedOn w:val="TableBullet1"/>
    <w:uiPriority w:val="99"/>
    <w:rsid w:val="009A1CBD"/>
    <w:pPr>
      <w:numPr>
        <w:numId w:val="0"/>
      </w:numPr>
      <w:ind w:left="340"/>
    </w:pPr>
  </w:style>
  <w:style w:type="paragraph" w:customStyle="1" w:styleId="TableIndent2">
    <w:name w:val="Table Indent 2"/>
    <w:basedOn w:val="TableBullet2"/>
    <w:uiPriority w:val="99"/>
    <w:rsid w:val="009A1CBD"/>
    <w:pPr>
      <w:numPr>
        <w:ilvl w:val="0"/>
        <w:numId w:val="0"/>
      </w:numPr>
      <w:ind w:left="680"/>
    </w:pPr>
  </w:style>
  <w:style w:type="paragraph" w:customStyle="1" w:styleId="TableIndent3">
    <w:name w:val="Table Indent 3"/>
    <w:basedOn w:val="TableBullet3"/>
    <w:uiPriority w:val="99"/>
    <w:rsid w:val="009A1CBD"/>
    <w:pPr>
      <w:numPr>
        <w:ilvl w:val="0"/>
        <w:numId w:val="0"/>
      </w:numPr>
      <w:ind w:left="1021"/>
    </w:pPr>
  </w:style>
  <w:style w:type="table" w:customStyle="1" w:styleId="MainTableStyle">
    <w:name w:val="Main Table Style"/>
    <w:basedOn w:val="TableNormal"/>
    <w:uiPriority w:val="99"/>
    <w:rsid w:val="009A1CB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9A1CBD"/>
    <w:pPr>
      <w:spacing w:before="0" w:after="0" w:line="240" w:lineRule="auto"/>
    </w:pPr>
  </w:style>
  <w:style w:type="table" w:customStyle="1" w:styleId="RowMainTableStyle">
    <w:name w:val="Row Main Table Style"/>
    <w:basedOn w:val="TableNormal"/>
    <w:uiPriority w:val="99"/>
    <w:rsid w:val="009A1CB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9A1CBD"/>
    <w:rPr>
      <w:color w:val="00BAD4" w:themeColor="text2"/>
    </w:rPr>
  </w:style>
  <w:style w:type="character" w:customStyle="1" w:styleId="CharacterStyle-BrightColour">
    <w:name w:val="Character Style - Bright Colour"/>
    <w:uiPriority w:val="11"/>
    <w:qFormat/>
    <w:rsid w:val="009A1CBD"/>
    <w:rPr>
      <w:color w:val="E52923" w:themeColor="background2"/>
    </w:rPr>
  </w:style>
  <w:style w:type="paragraph" w:customStyle="1" w:styleId="CoverTitle">
    <w:name w:val="Cover Title"/>
    <w:basedOn w:val="Normal"/>
    <w:next w:val="CoverSubtitle"/>
    <w:rsid w:val="009A1CBD"/>
    <w:pPr>
      <w:spacing w:before="0" w:after="0"/>
    </w:pPr>
    <w:rPr>
      <w:color w:val="000000" w:themeColor="text1"/>
      <w:sz w:val="40"/>
    </w:rPr>
  </w:style>
  <w:style w:type="paragraph" w:customStyle="1" w:styleId="CoverSubtitle">
    <w:name w:val="Cover Subtitle"/>
    <w:basedOn w:val="BodyText"/>
    <w:next w:val="CoverDate"/>
    <w:rsid w:val="009A1CBD"/>
    <w:pPr>
      <w:spacing w:before="40"/>
    </w:pPr>
    <w:rPr>
      <w:color w:val="00BAD4" w:themeColor="text2"/>
      <w:sz w:val="36"/>
      <w:szCs w:val="76"/>
    </w:rPr>
  </w:style>
  <w:style w:type="paragraph" w:customStyle="1" w:styleId="CoverDate">
    <w:name w:val="Cover Date"/>
    <w:basedOn w:val="Normal"/>
    <w:next w:val="BodyText"/>
    <w:rsid w:val="009A1CBD"/>
    <w:rPr>
      <w:color w:val="A59C94" w:themeColor="accent3"/>
      <w:sz w:val="28"/>
      <w:szCs w:val="48"/>
    </w:rPr>
  </w:style>
  <w:style w:type="paragraph" w:customStyle="1" w:styleId="Spacer">
    <w:name w:val="Spacer"/>
    <w:basedOn w:val="BodyTextSingleSpacing"/>
    <w:rsid w:val="009A1CBD"/>
    <w:pPr>
      <w:spacing w:before="160" w:after="160" w:line="280" w:lineRule="atLeast"/>
    </w:pPr>
  </w:style>
  <w:style w:type="paragraph" w:styleId="BalloonText">
    <w:name w:val="Balloon Text"/>
    <w:basedOn w:val="Normal"/>
    <w:link w:val="BalloonTextChar"/>
    <w:uiPriority w:val="99"/>
    <w:semiHidden/>
    <w:rsid w:val="009A1C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CBD"/>
    <w:rPr>
      <w:rFonts w:ascii="Tahoma" w:hAnsi="Tahoma" w:cs="Tahoma"/>
      <w:sz w:val="16"/>
      <w:szCs w:val="16"/>
    </w:rPr>
  </w:style>
  <w:style w:type="paragraph" w:customStyle="1" w:styleId="Heading1NoNumber">
    <w:name w:val="Heading 1 No Number"/>
    <w:basedOn w:val="Heading1"/>
    <w:next w:val="BodyText"/>
    <w:rsid w:val="009A1CBD"/>
    <w:pPr>
      <w:numPr>
        <w:numId w:val="0"/>
      </w:numPr>
    </w:pPr>
  </w:style>
  <w:style w:type="paragraph" w:styleId="Date">
    <w:name w:val="Date"/>
    <w:basedOn w:val="BodyText"/>
    <w:next w:val="BodyTextSingleSpacing"/>
    <w:link w:val="DateChar"/>
    <w:uiPriority w:val="99"/>
    <w:semiHidden/>
    <w:rsid w:val="009A1CBD"/>
    <w:pPr>
      <w:pageBreakBefore/>
      <w:spacing w:after="720"/>
    </w:pPr>
  </w:style>
  <w:style w:type="character" w:customStyle="1" w:styleId="DateChar">
    <w:name w:val="Date Char"/>
    <w:basedOn w:val="DefaultParagraphFont"/>
    <w:link w:val="Date"/>
    <w:uiPriority w:val="99"/>
    <w:semiHidden/>
    <w:rsid w:val="009A1CBD"/>
    <w:rPr>
      <w:rFonts w:ascii="Arial" w:hAnsi="Arial"/>
      <w:sz w:val="20"/>
    </w:rPr>
  </w:style>
  <w:style w:type="paragraph" w:styleId="Signature">
    <w:name w:val="Signature"/>
    <w:basedOn w:val="BodyText"/>
    <w:next w:val="BodyTextSingleSpacing"/>
    <w:link w:val="SignatureChar"/>
    <w:uiPriority w:val="99"/>
    <w:semiHidden/>
    <w:rsid w:val="009A1CBD"/>
    <w:pPr>
      <w:keepNext/>
      <w:spacing w:before="360" w:after="360"/>
    </w:pPr>
  </w:style>
  <w:style w:type="character" w:customStyle="1" w:styleId="SignatureChar">
    <w:name w:val="Signature Char"/>
    <w:basedOn w:val="DefaultParagraphFont"/>
    <w:link w:val="Signature"/>
    <w:uiPriority w:val="99"/>
    <w:semiHidden/>
    <w:rsid w:val="009A1CBD"/>
    <w:rPr>
      <w:rFonts w:ascii="Arial" w:hAnsi="Arial"/>
      <w:sz w:val="20"/>
    </w:rPr>
  </w:style>
  <w:style w:type="paragraph" w:customStyle="1" w:styleId="SubjectLine">
    <w:name w:val="Subject Line"/>
    <w:basedOn w:val="BodyText"/>
    <w:next w:val="BodyText"/>
    <w:semiHidden/>
    <w:rsid w:val="009A1CBD"/>
    <w:rPr>
      <w:b/>
      <w:caps/>
    </w:rPr>
  </w:style>
  <w:style w:type="paragraph" w:customStyle="1" w:styleId="Yourssincerely">
    <w:name w:val="Yours sincerely"/>
    <w:basedOn w:val="BodyText"/>
    <w:next w:val="Signature"/>
    <w:uiPriority w:val="99"/>
    <w:semiHidden/>
    <w:rsid w:val="009A1CBD"/>
    <w:pPr>
      <w:keepNext/>
    </w:pPr>
  </w:style>
  <w:style w:type="paragraph" w:customStyle="1" w:styleId="Disclaimer">
    <w:name w:val="Disclaimer"/>
    <w:basedOn w:val="Normal"/>
    <w:next w:val="BodyText"/>
    <w:semiHidden/>
    <w:rsid w:val="009A1CBD"/>
    <w:pPr>
      <w:spacing w:before="3000" w:line="240" w:lineRule="auto"/>
    </w:pPr>
    <w:rPr>
      <w:sz w:val="16"/>
      <w:szCs w:val="16"/>
    </w:rPr>
  </w:style>
  <w:style w:type="paragraph" w:styleId="TableofAuthorities">
    <w:name w:val="table of authorities"/>
    <w:basedOn w:val="TableofFigures"/>
    <w:next w:val="BodyText"/>
    <w:uiPriority w:val="99"/>
    <w:semiHidden/>
    <w:rsid w:val="009A1CBD"/>
  </w:style>
  <w:style w:type="paragraph" w:customStyle="1" w:styleId="Citationtext">
    <w:name w:val="Citation text"/>
    <w:basedOn w:val="BodyText"/>
    <w:rsid w:val="009A1CBD"/>
    <w:pPr>
      <w:spacing w:before="360" w:after="360"/>
    </w:pPr>
    <w:rPr>
      <w:i/>
      <w:color w:val="00BAD4" w:themeColor="text2"/>
      <w:sz w:val="24"/>
    </w:rPr>
  </w:style>
  <w:style w:type="character" w:customStyle="1" w:styleId="Heading8Char">
    <w:name w:val="Heading 8 Char"/>
    <w:basedOn w:val="DefaultParagraphFont"/>
    <w:link w:val="Heading8"/>
    <w:uiPriority w:val="12"/>
    <w:rsid w:val="009A1CBD"/>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9A1CBD"/>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9A1CBD"/>
    <w:pPr>
      <w:spacing w:after="360"/>
    </w:pPr>
  </w:style>
  <w:style w:type="character" w:styleId="PlaceholderText">
    <w:name w:val="Placeholder Text"/>
    <w:basedOn w:val="DefaultParagraphFont"/>
    <w:uiPriority w:val="99"/>
    <w:rsid w:val="009A1CBD"/>
    <w:rPr>
      <w:color w:val="808080"/>
    </w:rPr>
  </w:style>
  <w:style w:type="paragraph" w:styleId="Quote">
    <w:name w:val="Quote"/>
    <w:basedOn w:val="BodyText"/>
    <w:next w:val="BodyText"/>
    <w:link w:val="QuoteChar"/>
    <w:uiPriority w:val="9"/>
    <w:qFormat/>
    <w:rsid w:val="009A1CBD"/>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9A1CBD"/>
    <w:rPr>
      <w:rFonts w:ascii="Arial" w:hAnsi="Arial"/>
      <w:i/>
      <w:iCs/>
      <w:color w:val="00B398" w:themeColor="accent5"/>
      <w:sz w:val="20"/>
    </w:rPr>
  </w:style>
  <w:style w:type="paragraph" w:customStyle="1" w:styleId="PageNo">
    <w:name w:val="Page No"/>
    <w:basedOn w:val="Footer"/>
    <w:link w:val="PageNoChar"/>
    <w:rsid w:val="009A1CBD"/>
    <w:pPr>
      <w:jc w:val="right"/>
    </w:pPr>
  </w:style>
  <w:style w:type="paragraph" w:customStyle="1" w:styleId="TableHeadingWhiteFont">
    <w:name w:val="Table Heading White Font"/>
    <w:basedOn w:val="TableText"/>
    <w:rsid w:val="009A1CBD"/>
    <w:pPr>
      <w:numPr>
        <w:numId w:val="0"/>
      </w:numPr>
    </w:pPr>
    <w:rPr>
      <w:color w:val="FFFFFF" w:themeColor="background1"/>
    </w:rPr>
  </w:style>
  <w:style w:type="character" w:customStyle="1" w:styleId="PageNoChar">
    <w:name w:val="Page No Char"/>
    <w:basedOn w:val="FooterChar"/>
    <w:link w:val="PageNo"/>
    <w:rsid w:val="009A1CBD"/>
    <w:rPr>
      <w:rFonts w:ascii="Arial" w:hAnsi="Arial" w:cstheme="minorHAnsi"/>
      <w:noProof/>
      <w:color w:val="000000" w:themeColor="text1"/>
      <w:sz w:val="16"/>
      <w:szCs w:val="18"/>
    </w:rPr>
  </w:style>
  <w:style w:type="paragraph" w:customStyle="1" w:styleId="IntroText">
    <w:name w:val="Intro Text"/>
    <w:basedOn w:val="BodyText"/>
    <w:rsid w:val="009A1CBD"/>
    <w:pPr>
      <w:keepNext/>
      <w:spacing w:before="360" w:after="360"/>
    </w:pPr>
    <w:rPr>
      <w:color w:val="A59C94" w:themeColor="accent3"/>
      <w:sz w:val="28"/>
    </w:rPr>
  </w:style>
  <w:style w:type="paragraph" w:customStyle="1" w:styleId="Heading2NoNumber">
    <w:name w:val="Heading 2 No Number"/>
    <w:basedOn w:val="Heading2"/>
    <w:uiPriority w:val="99"/>
    <w:qFormat/>
    <w:rsid w:val="009A1CBD"/>
    <w:pPr>
      <w:numPr>
        <w:ilvl w:val="0"/>
        <w:numId w:val="0"/>
      </w:numPr>
    </w:pPr>
  </w:style>
  <w:style w:type="paragraph" w:customStyle="1" w:styleId="Heading3NoNumber">
    <w:name w:val="Heading 3 No Number"/>
    <w:basedOn w:val="Heading3"/>
    <w:uiPriority w:val="99"/>
    <w:qFormat/>
    <w:rsid w:val="009A1CBD"/>
    <w:pPr>
      <w:numPr>
        <w:ilvl w:val="0"/>
        <w:numId w:val="0"/>
      </w:numPr>
    </w:pPr>
  </w:style>
  <w:style w:type="paragraph" w:customStyle="1" w:styleId="Calloutheading">
    <w:name w:val="Callout heading"/>
    <w:basedOn w:val="BodyText"/>
    <w:uiPriority w:val="9"/>
    <w:qFormat/>
    <w:rsid w:val="009A1CBD"/>
    <w:pPr>
      <w:spacing w:before="0"/>
    </w:pPr>
    <w:rPr>
      <w:b/>
      <w:color w:val="95A61E" w:themeColor="accent1" w:themeShade="BF"/>
    </w:rPr>
  </w:style>
  <w:style w:type="paragraph" w:customStyle="1" w:styleId="ChapterTitle">
    <w:name w:val="Chapter Title"/>
    <w:basedOn w:val="BodyText"/>
    <w:uiPriority w:val="99"/>
    <w:qFormat/>
    <w:rsid w:val="009A1CBD"/>
    <w:rPr>
      <w:sz w:val="68"/>
    </w:rPr>
  </w:style>
  <w:style w:type="paragraph" w:customStyle="1" w:styleId="ChapterSubtitle">
    <w:name w:val="Chapter Subtitle"/>
    <w:basedOn w:val="ChapterTitle"/>
    <w:next w:val="BodyText"/>
    <w:uiPriority w:val="99"/>
    <w:qFormat/>
    <w:rsid w:val="009A1CBD"/>
    <w:rPr>
      <w:color w:val="796E65" w:themeColor="accent4"/>
      <w:sz w:val="56"/>
    </w:rPr>
  </w:style>
  <w:style w:type="character" w:customStyle="1" w:styleId="CharacterStyle-Italic">
    <w:name w:val="Character Style - Italic"/>
    <w:basedOn w:val="CharacterStyle-BrightColour"/>
    <w:uiPriority w:val="1"/>
    <w:qFormat/>
    <w:rsid w:val="009A1CBD"/>
    <w:rPr>
      <w:i/>
      <w:color w:val="auto"/>
    </w:rPr>
  </w:style>
  <w:style w:type="character" w:customStyle="1" w:styleId="CharacterStyle-Underline">
    <w:name w:val="Character Style - Underline"/>
    <w:basedOn w:val="DefaultParagraphFont"/>
    <w:uiPriority w:val="1"/>
    <w:qFormat/>
    <w:rsid w:val="009A1CBD"/>
    <w:rPr>
      <w:u w:val="single"/>
    </w:rPr>
  </w:style>
  <w:style w:type="character" w:customStyle="1" w:styleId="CharacterStyle-Bold">
    <w:name w:val="Character Style - Bold"/>
    <w:basedOn w:val="DefaultParagraphFont"/>
    <w:uiPriority w:val="1"/>
    <w:qFormat/>
    <w:rsid w:val="009A1CBD"/>
    <w:rPr>
      <w:b/>
    </w:rPr>
  </w:style>
  <w:style w:type="character" w:customStyle="1" w:styleId="CharacterStyle-Subscript">
    <w:name w:val="Character Style - Subscript"/>
    <w:basedOn w:val="DefaultParagraphFont"/>
    <w:uiPriority w:val="1"/>
    <w:qFormat/>
    <w:rsid w:val="009A1CBD"/>
    <w:rPr>
      <w:vertAlign w:val="subscript"/>
    </w:rPr>
  </w:style>
  <w:style w:type="character" w:customStyle="1" w:styleId="CharacterStyle-Superscript">
    <w:name w:val="Character Style - Superscript"/>
    <w:basedOn w:val="DefaultParagraphFont"/>
    <w:uiPriority w:val="1"/>
    <w:qFormat/>
    <w:rsid w:val="009A1CBD"/>
    <w:rPr>
      <w:vertAlign w:val="superscript"/>
    </w:rPr>
  </w:style>
  <w:style w:type="character" w:customStyle="1" w:styleId="CharacterStyle-Highlight">
    <w:name w:val="Character Style - Highlight"/>
    <w:basedOn w:val="DefaultParagraphFont"/>
    <w:uiPriority w:val="1"/>
    <w:qFormat/>
    <w:rsid w:val="009A1CBD"/>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9A1CBD"/>
    <w:rPr>
      <w:strike/>
      <w:dstrike w:val="0"/>
    </w:rPr>
  </w:style>
  <w:style w:type="paragraph" w:customStyle="1" w:styleId="Callouttext">
    <w:name w:val="Callout text"/>
    <w:basedOn w:val="Calloutheading"/>
    <w:uiPriority w:val="9"/>
    <w:qFormat/>
    <w:rsid w:val="009A1CBD"/>
    <w:pPr>
      <w:spacing w:before="100" w:after="100" w:line="240" w:lineRule="auto"/>
    </w:pPr>
    <w:rPr>
      <w:b w:val="0"/>
      <w:color w:val="796E65" w:themeColor="accent4"/>
      <w:sz w:val="18"/>
    </w:rPr>
  </w:style>
  <w:style w:type="character" w:styleId="FollowedHyperlink">
    <w:name w:val="FollowedHyperlink"/>
    <w:basedOn w:val="DefaultParagraphFont"/>
    <w:uiPriority w:val="99"/>
    <w:rsid w:val="009A1CBD"/>
    <w:rPr>
      <w:color w:val="A59C94" w:themeColor="accent3"/>
      <w:u w:val="single"/>
    </w:rPr>
  </w:style>
  <w:style w:type="character" w:customStyle="1" w:styleId="Callouttextcolour">
    <w:name w:val="Callout text colour"/>
    <w:basedOn w:val="DefaultParagraphFont"/>
    <w:uiPriority w:val="1"/>
    <w:qFormat/>
    <w:rsid w:val="009A1CBD"/>
    <w:rPr>
      <w:color w:val="796E65" w:themeColor="accent4"/>
      <w:lang w:val="en-GB"/>
    </w:rPr>
  </w:style>
  <w:style w:type="character" w:styleId="CommentReference">
    <w:name w:val="annotation reference"/>
    <w:basedOn w:val="DefaultParagraphFont"/>
    <w:uiPriority w:val="99"/>
    <w:semiHidden/>
    <w:rsid w:val="006A6D3D"/>
    <w:rPr>
      <w:sz w:val="16"/>
      <w:szCs w:val="16"/>
    </w:rPr>
  </w:style>
  <w:style w:type="paragraph" w:styleId="CommentText">
    <w:name w:val="annotation text"/>
    <w:basedOn w:val="Normal"/>
    <w:link w:val="CommentTextChar"/>
    <w:uiPriority w:val="99"/>
    <w:semiHidden/>
    <w:rsid w:val="006A6D3D"/>
    <w:pPr>
      <w:spacing w:line="240" w:lineRule="auto"/>
    </w:pPr>
    <w:rPr>
      <w:szCs w:val="20"/>
    </w:rPr>
  </w:style>
  <w:style w:type="character" w:customStyle="1" w:styleId="CommentTextChar">
    <w:name w:val="Comment Text Char"/>
    <w:basedOn w:val="DefaultParagraphFont"/>
    <w:link w:val="CommentText"/>
    <w:uiPriority w:val="99"/>
    <w:semiHidden/>
    <w:rsid w:val="006A6D3D"/>
    <w:rPr>
      <w:rFonts w:ascii="Arial" w:hAnsi="Arial"/>
      <w:sz w:val="20"/>
      <w:szCs w:val="20"/>
    </w:rPr>
  </w:style>
  <w:style w:type="paragraph" w:styleId="CommentSubject">
    <w:name w:val="annotation subject"/>
    <w:basedOn w:val="CommentText"/>
    <w:next w:val="CommentText"/>
    <w:link w:val="CommentSubjectChar"/>
    <w:uiPriority w:val="99"/>
    <w:semiHidden/>
    <w:rsid w:val="006A6D3D"/>
    <w:rPr>
      <w:b/>
      <w:bCs/>
    </w:rPr>
  </w:style>
  <w:style w:type="character" w:customStyle="1" w:styleId="CommentSubjectChar">
    <w:name w:val="Comment Subject Char"/>
    <w:basedOn w:val="CommentTextChar"/>
    <w:link w:val="CommentSubject"/>
    <w:uiPriority w:val="99"/>
    <w:semiHidden/>
    <w:rsid w:val="006A6D3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oula\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MMR-AJM-PWAA-RP-NN-000781</CompanyAddress>
  <CompanyPhone>C1</CompanyPhone>
  <CompanyFax>MMRA</CompanyFax>
  <CompanyEmail>EES – Chapter 3 Legislative Framework and Approval Requirements</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0594E-4180-4AE6-AC58-106D83D6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8</TotalTime>
  <Pages>1</Pages>
  <Words>2969</Words>
  <Characters>16927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EES - Chapter 3</vt:lpstr>
    </vt:vector>
  </TitlesOfParts>
  <Company/>
  <LinksUpToDate>false</LinksUpToDate>
  <CharactersWithSpaces>19857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3</dc:title>
  <dc:creator>Metuant</dc:creator>
  <cp:lastModifiedBy>McComas, Piers (SKM)</cp:lastModifiedBy>
  <cp:revision>10</cp:revision>
  <cp:lastPrinted>2016-05-12T22:44:00Z</cp:lastPrinted>
  <dcterms:created xsi:type="dcterms:W3CDTF">2016-05-10T03:06:00Z</dcterms:created>
  <dcterms:modified xsi:type="dcterms:W3CDTF">2016-05-23T03:08:00Z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y fmtid="{D5CDD505-2E9C-101B-9397-08002B2CF9AE}" pid="10" name="DMS Library Name">
    <vt:lpwstr>Active</vt:lpwstr>
  </property>
  <property fmtid="{D5CDD505-2E9C-101B-9397-08002B2CF9AE}" pid="11" name="DMS Item ID">
    <vt:lpwstr>50776778</vt:lpwstr>
  </property>
  <property fmtid="{D5CDD505-2E9C-101B-9397-08002B2CF9AE}" pid="12" name="DMS Version">
    <vt:lpwstr>1</vt:lpwstr>
  </property>
  <property fmtid="{D5CDD505-2E9C-101B-9397-08002B2CF9AE}" pid="13" name="Item Previous Reference">
    <vt:lpwstr/>
  </property>
</Properties>
</file>