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65A6" w14:textId="4B236CF8" w:rsidR="00D94D81" w:rsidRPr="0083677E" w:rsidRDefault="006832F9" w:rsidP="006832F9">
      <w:pPr>
        <w:pStyle w:val="Heading1"/>
      </w:pPr>
      <w:bookmarkStart w:id="0" w:name="_General_style_notes"/>
      <w:bookmarkStart w:id="1" w:name="_Toc450894351"/>
      <w:bookmarkStart w:id="2" w:name="_GoBack"/>
      <w:bookmarkEnd w:id="0"/>
      <w:bookmarkEnd w:id="2"/>
      <w:r w:rsidRPr="0083677E">
        <w:rPr>
          <w:noProof/>
          <w:lang w:eastAsia="en-AU"/>
        </w:rPr>
        <w:drawing>
          <wp:anchor distT="0" distB="0" distL="114300" distR="114300" simplePos="0" relativeHeight="251658240" behindDoc="1" locked="1" layoutInCell="1" allowOverlap="1" wp14:anchorId="5CD8CC60" wp14:editId="3FA4DF21">
            <wp:simplePos x="0" y="0"/>
            <wp:positionH relativeFrom="page">
              <wp:posOffset>180340</wp:posOffset>
            </wp:positionH>
            <wp:positionV relativeFrom="page">
              <wp:posOffset>180340</wp:posOffset>
            </wp:positionV>
            <wp:extent cx="2034000" cy="2880000"/>
            <wp:effectExtent l="0" t="0" r="4445" b="0"/>
            <wp:wrapNone/>
            <wp:docPr id="3" name="Picture 2" descr="C:\Users\Patrick\SafeSync\Metuant client work\Melbourne Metro Rail Authority\Templates\MM Brand Decal1.jpg"/>
            <wp:cNvGraphicFramePr/>
            <a:graphic xmlns:a="http://schemas.openxmlformats.org/drawingml/2006/main">
              <a:graphicData uri="http://schemas.openxmlformats.org/drawingml/2006/picture">
                <pic:pic xmlns:pic="http://schemas.openxmlformats.org/drawingml/2006/picture">
                  <pic:nvPicPr>
                    <pic:cNvPr id="3" name="Picture 2" descr="C:\Users\Patrick\SafeSync\Metuant client work\Melbourne Metro Rail Authority\Templates\MM Brand Decal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D81" w:rsidRPr="0083677E">
        <w:t>EES Assessment Framework and</w:t>
      </w:r>
      <w:r w:rsidR="00934266" w:rsidRPr="0083677E">
        <w:t xml:space="preserve"> </w:t>
      </w:r>
      <w:r w:rsidR="00D94D81" w:rsidRPr="0083677E">
        <w:t>Approach</w:t>
      </w:r>
      <w:bookmarkEnd w:id="1"/>
    </w:p>
    <w:p w14:paraId="7F177FD2" w14:textId="5924BBCB" w:rsidR="00D94D81" w:rsidRPr="0083677E" w:rsidRDefault="00D94D81" w:rsidP="00D34CCC">
      <w:pPr>
        <w:pStyle w:val="Heading2"/>
      </w:pPr>
      <w:bookmarkStart w:id="3" w:name="_Toc450894352"/>
      <w:r w:rsidRPr="0083677E">
        <w:t>Introduction</w:t>
      </w:r>
      <w:bookmarkEnd w:id="3"/>
    </w:p>
    <w:p w14:paraId="438F986B" w14:textId="3B120AD8" w:rsidR="00D94D81" w:rsidRPr="0083677E" w:rsidRDefault="00D94D81" w:rsidP="00D34CCC">
      <w:pPr>
        <w:pStyle w:val="BodyText"/>
      </w:pPr>
      <w:r w:rsidRPr="0083677E">
        <w:t xml:space="preserve">An assessment framework was developed for the EES to ensure consistency in approach was achieved throughout the EES and across the specialist assessments undertaken to evaluate and refine the </w:t>
      </w:r>
      <w:r w:rsidR="0000641D" w:rsidRPr="0083677E">
        <w:t xml:space="preserve">proposed </w:t>
      </w:r>
      <w:r w:rsidRPr="0083677E">
        <w:t>M</w:t>
      </w:r>
      <w:r w:rsidR="0000641D" w:rsidRPr="0083677E">
        <w:t>elbourne Metro</w:t>
      </w:r>
      <w:r w:rsidRPr="0083677E">
        <w:t xml:space="preserve">. </w:t>
      </w:r>
    </w:p>
    <w:p w14:paraId="76D727E5" w14:textId="6035F321" w:rsidR="00D94D81" w:rsidRPr="0083677E" w:rsidRDefault="00D94D81" w:rsidP="00D34CCC">
      <w:pPr>
        <w:pStyle w:val="BodyText"/>
      </w:pPr>
      <w:r w:rsidRPr="0083677E">
        <w:t>This chapter describes the assessment framework that has</w:t>
      </w:r>
      <w:r w:rsidR="00303DF9" w:rsidRPr="0083677E">
        <w:t xml:space="preserve"> been applied </w:t>
      </w:r>
      <w:r w:rsidR="0000641D" w:rsidRPr="0083677E">
        <w:t>to</w:t>
      </w:r>
      <w:r w:rsidR="00303DF9" w:rsidRPr="0083677E">
        <w:t xml:space="preserve"> evaluating the environmental effects</w:t>
      </w:r>
      <w:r w:rsidRPr="0083677E">
        <w:t xml:space="preserve"> of </w:t>
      </w:r>
      <w:r w:rsidR="00303DF9" w:rsidRPr="0083677E">
        <w:t xml:space="preserve">Melbourne Metro, refining the project and preparing the EES. The framework has been applied to </w:t>
      </w:r>
      <w:r w:rsidRPr="0083677E">
        <w:t xml:space="preserve">the assessment of potential risks and impacts, the development of recommended Environmental Performance Requirements to minimise </w:t>
      </w:r>
      <w:r w:rsidR="0080353C">
        <w:t xml:space="preserve">adverse </w:t>
      </w:r>
      <w:r w:rsidRPr="0083677E">
        <w:t>impacts and the evaluation of the overall potential impacts</w:t>
      </w:r>
      <w:r w:rsidR="00303DF9" w:rsidRPr="0083677E">
        <w:t xml:space="preserve"> of Melbourne Metro, both </w:t>
      </w:r>
      <w:r w:rsidRPr="0083677E">
        <w:t xml:space="preserve">positive and negative. </w:t>
      </w:r>
    </w:p>
    <w:p w14:paraId="37227307" w14:textId="77777777" w:rsidR="00D94D81" w:rsidRPr="0083677E" w:rsidRDefault="00D94D81" w:rsidP="00D34CCC">
      <w:pPr>
        <w:pStyle w:val="BodyText"/>
      </w:pPr>
      <w:r w:rsidRPr="0083677E">
        <w:t>An overview of the environmental risk assessment process and its relationship to the impact assessment</w:t>
      </w:r>
      <w:r w:rsidR="00303DF9" w:rsidRPr="0083677E">
        <w:t xml:space="preserve"> is also presented in this chapter</w:t>
      </w:r>
      <w:r w:rsidRPr="0083677E">
        <w:t>.</w:t>
      </w:r>
    </w:p>
    <w:p w14:paraId="3FA3B0AE" w14:textId="77777777" w:rsidR="00D94D81" w:rsidRPr="0083677E" w:rsidRDefault="00D94D81" w:rsidP="006832F9">
      <w:pPr>
        <w:pStyle w:val="Heading2"/>
      </w:pPr>
      <w:bookmarkStart w:id="4" w:name="_Toc450894353"/>
      <w:r w:rsidRPr="0083677E">
        <w:t>Draft EES Evaluation Objectives and Assessment Framework</w:t>
      </w:r>
      <w:bookmarkEnd w:id="4"/>
    </w:p>
    <w:p w14:paraId="05BDD496" w14:textId="01C69AFD" w:rsidR="00D94D81" w:rsidRPr="0083677E" w:rsidRDefault="00303DF9" w:rsidP="00D81838">
      <w:pPr>
        <w:pStyle w:val="BodyText"/>
      </w:pPr>
      <w:r w:rsidRPr="0083677E">
        <w:t xml:space="preserve">The assessment framework applied in evaluating the effects of Melbourne Metro </w:t>
      </w:r>
      <w:proofErr w:type="gramStart"/>
      <w:r w:rsidRPr="0083677E">
        <w:t>and</w:t>
      </w:r>
      <w:proofErr w:type="gramEnd"/>
      <w:r w:rsidRPr="0083677E">
        <w:t xml:space="preserve"> preparing this EES consists of the elements listed below. The relationship between these elements is </w:t>
      </w:r>
      <w:r w:rsidR="00D94D81" w:rsidRPr="0083677E">
        <w:t xml:space="preserve">illustrated in </w:t>
      </w:r>
      <w:r w:rsidR="00EE2E47" w:rsidRPr="0083677E">
        <w:fldChar w:fldCharType="begin"/>
      </w:r>
      <w:r w:rsidR="00D94D81" w:rsidRPr="0083677E">
        <w:instrText xml:space="preserve"> REF _Ref444204351 \h </w:instrText>
      </w:r>
      <w:r w:rsidR="00EE2E47" w:rsidRPr="0083677E">
        <w:fldChar w:fldCharType="separate"/>
      </w:r>
      <w:r w:rsidR="005A6DF0" w:rsidRPr="0083677E">
        <w:t>Figure </w:t>
      </w:r>
      <w:r w:rsidR="005A6DF0">
        <w:rPr>
          <w:noProof/>
          <w:cs/>
        </w:rPr>
        <w:t>‎</w:t>
      </w:r>
      <w:r w:rsidR="005A6DF0">
        <w:rPr>
          <w:noProof/>
        </w:rPr>
        <w:t>4</w:t>
      </w:r>
      <w:r w:rsidR="005A6DF0" w:rsidRPr="0083677E">
        <w:noBreakHyphen/>
      </w:r>
      <w:r w:rsidR="005A6DF0">
        <w:rPr>
          <w:noProof/>
        </w:rPr>
        <w:t>1</w:t>
      </w:r>
      <w:r w:rsidR="00EE2E47" w:rsidRPr="0083677E">
        <w:fldChar w:fldCharType="end"/>
      </w:r>
      <w:r w:rsidR="00D94D81" w:rsidRPr="0083677E">
        <w:t>:</w:t>
      </w:r>
    </w:p>
    <w:p w14:paraId="5E913C02" w14:textId="77777777" w:rsidR="00D94D81" w:rsidRPr="0083677E" w:rsidRDefault="00D94D81" w:rsidP="00D94D81">
      <w:pPr>
        <w:pStyle w:val="BodyBullet1"/>
      </w:pPr>
      <w:r w:rsidRPr="0083677E">
        <w:t>MMRA Project Objectives</w:t>
      </w:r>
    </w:p>
    <w:p w14:paraId="04B7F771" w14:textId="77777777" w:rsidR="00D94D81" w:rsidRPr="0083677E" w:rsidRDefault="00D94D81" w:rsidP="00D94D81">
      <w:pPr>
        <w:pStyle w:val="BodyBullet1"/>
      </w:pPr>
      <w:r w:rsidRPr="0083677E">
        <w:t>Draft EES evaluation objectives</w:t>
      </w:r>
    </w:p>
    <w:p w14:paraId="209C4DF2" w14:textId="00750FBA" w:rsidR="00D94D81" w:rsidRPr="0083677E" w:rsidRDefault="00D94D81" w:rsidP="00D94D81">
      <w:pPr>
        <w:pStyle w:val="BodyBullet1"/>
      </w:pPr>
      <w:r w:rsidRPr="0083677E">
        <w:t>Project specific criteria</w:t>
      </w:r>
      <w:r w:rsidR="00AD6031" w:rsidRPr="0083677E">
        <w:t xml:space="preserve"> </w:t>
      </w:r>
      <w:r w:rsidR="00982B12" w:rsidRPr="0083677E">
        <w:t>(where appropriate)</w:t>
      </w:r>
    </w:p>
    <w:p w14:paraId="2766F09E" w14:textId="77777777" w:rsidR="00D94D81" w:rsidRPr="0083677E" w:rsidRDefault="00D94D81" w:rsidP="00D94D81">
      <w:pPr>
        <w:pStyle w:val="BodyBullet1"/>
      </w:pPr>
      <w:r w:rsidRPr="0083677E">
        <w:t>Relevant legislation, policy and guidelines</w:t>
      </w:r>
    </w:p>
    <w:p w14:paraId="33299D9D" w14:textId="77777777" w:rsidR="00D94D81" w:rsidRPr="0083677E" w:rsidRDefault="00D94D81" w:rsidP="00D94D81">
      <w:pPr>
        <w:pStyle w:val="BodyBullet1"/>
      </w:pPr>
      <w:r w:rsidRPr="0083677E">
        <w:t>Specialist risk assessment and impact assessment</w:t>
      </w:r>
    </w:p>
    <w:p w14:paraId="5E905D0F" w14:textId="556037A6" w:rsidR="00D94D81" w:rsidRPr="0083677E" w:rsidRDefault="00AC17FA" w:rsidP="00D94D81">
      <w:pPr>
        <w:pStyle w:val="BodyBullet1"/>
      </w:pPr>
      <w:r>
        <w:t xml:space="preserve">Recommended </w:t>
      </w:r>
      <w:r w:rsidR="00D94D81" w:rsidRPr="0083677E">
        <w:t xml:space="preserve">Environmental </w:t>
      </w:r>
      <w:r w:rsidR="00F2222F" w:rsidRPr="0083677E">
        <w:t>P</w:t>
      </w:r>
      <w:r w:rsidR="00D94D81" w:rsidRPr="0083677E">
        <w:t xml:space="preserve">erformance </w:t>
      </w:r>
      <w:r w:rsidR="00F2222F" w:rsidRPr="0083677E">
        <w:t>R</w:t>
      </w:r>
      <w:r w:rsidR="00D94D81" w:rsidRPr="0083677E">
        <w:t>equirements.</w:t>
      </w:r>
    </w:p>
    <w:p w14:paraId="634EFE29" w14:textId="6691AB12" w:rsidR="0000641D" w:rsidRPr="0083677E" w:rsidRDefault="00D94D81" w:rsidP="00D81838">
      <w:pPr>
        <w:pStyle w:val="BodyText"/>
      </w:pPr>
      <w:r w:rsidRPr="0083677E">
        <w:t xml:space="preserve">The </w:t>
      </w:r>
      <w:r w:rsidR="00303DF9" w:rsidRPr="0083677E">
        <w:t xml:space="preserve">Melbourne Metro </w:t>
      </w:r>
      <w:r w:rsidRPr="0083677E">
        <w:t>Project Objectives are a key input into the EES evaluation framework</w:t>
      </w:r>
      <w:r w:rsidR="00303DF9" w:rsidRPr="0083677E">
        <w:t>. These Project Objectives are listed in Section 1.1.3 of this EES.</w:t>
      </w:r>
      <w:r w:rsidRPr="0083677E">
        <w:t xml:space="preserve"> The Project Objectives have guided </w:t>
      </w:r>
      <w:r w:rsidR="00105B63" w:rsidRPr="0083677E">
        <w:t xml:space="preserve">MMRA's approach to </w:t>
      </w:r>
      <w:r w:rsidRPr="0083677E">
        <w:t xml:space="preserve">the development </w:t>
      </w:r>
      <w:r w:rsidR="00105B63" w:rsidRPr="0083677E">
        <w:t xml:space="preserve">of the concept design for </w:t>
      </w:r>
      <w:r w:rsidR="00303DF9" w:rsidRPr="0083677E">
        <w:t>Melbourne Metro</w:t>
      </w:r>
      <w:r w:rsidR="00105B63" w:rsidRPr="0083677E">
        <w:t xml:space="preserve"> and </w:t>
      </w:r>
      <w:r w:rsidR="00AC17FA">
        <w:t>would</w:t>
      </w:r>
      <w:r w:rsidR="00AC17FA" w:rsidRPr="0083677E">
        <w:t xml:space="preserve"> </w:t>
      </w:r>
      <w:r w:rsidR="00105B63" w:rsidRPr="0083677E">
        <w:t xml:space="preserve">continue to inform its approach to </w:t>
      </w:r>
      <w:r w:rsidR="0000641D" w:rsidRPr="0083677E">
        <w:t xml:space="preserve">the project's </w:t>
      </w:r>
      <w:r w:rsidR="00105B63" w:rsidRPr="0083677E">
        <w:t>detailed design and construction</w:t>
      </w:r>
      <w:r w:rsidRPr="0083677E">
        <w:t xml:space="preserve">. </w:t>
      </w:r>
    </w:p>
    <w:p w14:paraId="68795271" w14:textId="36BAB5F0" w:rsidR="00303DF9" w:rsidRPr="0083677E" w:rsidRDefault="00D94D81" w:rsidP="00D70A54">
      <w:pPr>
        <w:pStyle w:val="BodyText"/>
      </w:pPr>
      <w:r w:rsidRPr="0083677E">
        <w:t xml:space="preserve">While the Project Objectives are not focused on environmental performance, they </w:t>
      </w:r>
      <w:r w:rsidR="00105B63" w:rsidRPr="0083677E">
        <w:t>do</w:t>
      </w:r>
      <w:r w:rsidRPr="0083677E">
        <w:t xml:space="preserve"> address the transport and social issues that are identified in the Scoping Requirements and </w:t>
      </w:r>
      <w:r w:rsidR="0000641D" w:rsidRPr="0083677E">
        <w:t xml:space="preserve">aim </w:t>
      </w:r>
      <w:r w:rsidRPr="0083677E">
        <w:t xml:space="preserve">to </w:t>
      </w:r>
      <w:r w:rsidR="0000641D" w:rsidRPr="0083677E">
        <w:t xml:space="preserve">achieve </w:t>
      </w:r>
      <w:r w:rsidRPr="0083677E">
        <w:t>transport, social and economic benefits. Section 2.6 (Chapter 2</w:t>
      </w:r>
      <w:r w:rsidR="00105B63" w:rsidRPr="0083677E">
        <w:t xml:space="preserve"> </w:t>
      </w:r>
      <w:r w:rsidR="00EE2E47" w:rsidRPr="0083677E">
        <w:rPr>
          <w:rStyle w:val="CharacterStyle-Italic"/>
        </w:rPr>
        <w:t>Project Rationale and Benefits</w:t>
      </w:r>
      <w:r w:rsidRPr="0083677E">
        <w:t xml:space="preserve">) provides a summary of how the proposed </w:t>
      </w:r>
      <w:r w:rsidR="00303DF9" w:rsidRPr="0083677E">
        <w:t xml:space="preserve">Melbourne Metro </w:t>
      </w:r>
      <w:r w:rsidRPr="0083677E">
        <w:t>would meet the</w:t>
      </w:r>
      <w:r w:rsidR="00105B63" w:rsidRPr="0083677E">
        <w:t xml:space="preserve"> Project</w:t>
      </w:r>
      <w:r w:rsidRPr="0083677E">
        <w:t xml:space="preserve"> </w:t>
      </w:r>
      <w:r w:rsidR="00105B63" w:rsidRPr="0083677E">
        <w:t>O</w:t>
      </w:r>
      <w:r w:rsidRPr="0083677E">
        <w:t>bjectives.</w:t>
      </w:r>
    </w:p>
    <w:p w14:paraId="115CBA4E" w14:textId="38506529" w:rsidR="00105B63" w:rsidRPr="0083677E" w:rsidRDefault="00D94D81" w:rsidP="00D81838">
      <w:pPr>
        <w:pStyle w:val="BodyText"/>
      </w:pPr>
      <w:r w:rsidRPr="0083677E">
        <w:lastRenderedPageBreak/>
        <w:t xml:space="preserve">The draft EES evaluation objectives </w:t>
      </w:r>
      <w:r w:rsidR="00514D82" w:rsidRPr="0083677E">
        <w:t xml:space="preserve">presented in Table 1 of </w:t>
      </w:r>
      <w:r w:rsidRPr="0083677E">
        <w:t>the Scoping Requirements</w:t>
      </w:r>
      <w:r w:rsidR="00514D82" w:rsidRPr="0083677E">
        <w:t xml:space="preserve"> are also summarised in </w:t>
      </w:r>
      <w:r w:rsidR="00C36150" w:rsidRPr="0083677E">
        <w:fldChar w:fldCharType="begin"/>
      </w:r>
      <w:r w:rsidR="00C36150" w:rsidRPr="0083677E">
        <w:instrText xml:space="preserve"> REF _Ref448608439 \h </w:instrText>
      </w:r>
      <w:r w:rsidR="00C36150" w:rsidRPr="0083677E">
        <w:fldChar w:fldCharType="separate"/>
      </w:r>
      <w:r w:rsidR="005A6DF0" w:rsidRPr="0083677E">
        <w:t>Table</w:t>
      </w:r>
      <w:r w:rsidR="005A6DF0">
        <w:t> </w:t>
      </w:r>
      <w:r w:rsidR="005A6DF0">
        <w:rPr>
          <w:noProof/>
          <w:cs/>
        </w:rPr>
        <w:t>‎</w:t>
      </w:r>
      <w:r w:rsidR="005A6DF0">
        <w:rPr>
          <w:noProof/>
        </w:rPr>
        <w:t>4</w:t>
      </w:r>
      <w:r w:rsidR="005A6DF0" w:rsidRPr="0083677E">
        <w:t>–</w:t>
      </w:r>
      <w:r w:rsidR="005A6DF0">
        <w:rPr>
          <w:noProof/>
        </w:rPr>
        <w:t>1</w:t>
      </w:r>
      <w:r w:rsidR="00C36150" w:rsidRPr="0083677E">
        <w:fldChar w:fldCharType="end"/>
      </w:r>
      <w:r w:rsidR="00514D82" w:rsidRPr="0083677E">
        <w:t xml:space="preserve"> </w:t>
      </w:r>
      <w:r w:rsidR="00D70A54" w:rsidRPr="0083677E">
        <w:t>below</w:t>
      </w:r>
      <w:r w:rsidRPr="0083677E">
        <w:t xml:space="preserve">. The draft evaluation objectives provide a framework to guide an integrated assessment of the environmental effects of </w:t>
      </w:r>
      <w:r w:rsidR="00514D82" w:rsidRPr="0083677E">
        <w:t>Melbourne Metro</w:t>
      </w:r>
      <w:r w:rsidRPr="0083677E">
        <w:t>. The Scoping Requirements define the scope of the EES and set out in detail the specific matters to be investigated and documented in the EES.</w:t>
      </w:r>
    </w:p>
    <w:p w14:paraId="2D64027A" w14:textId="03BFEFD6" w:rsidR="00D94D81" w:rsidRPr="0083677E" w:rsidRDefault="00D94D81" w:rsidP="00D94D81">
      <w:pPr>
        <w:pStyle w:val="BodyText"/>
      </w:pPr>
      <w:r w:rsidRPr="0083677E">
        <w:t>The MMRA Project Objectives, the draft evaluation objectives and relevant legislation, policy and guidelines have informed the development of project-specific criteria</w:t>
      </w:r>
      <w:r w:rsidR="00982B12" w:rsidRPr="0083677E">
        <w:t>, for areas of investigation where standards do not exist.</w:t>
      </w:r>
    </w:p>
    <w:p w14:paraId="70BFC860" w14:textId="0EE6D3D8" w:rsidR="00D94D81" w:rsidRPr="0083677E" w:rsidRDefault="00D94D81" w:rsidP="00D94D81">
      <w:pPr>
        <w:pStyle w:val="BodyText"/>
      </w:pPr>
      <w:r w:rsidRPr="0083677E">
        <w:t xml:space="preserve">A systems and risk-based approach was adopted for the specialist studies to identify </w:t>
      </w:r>
      <w:r w:rsidR="00303DF9" w:rsidRPr="0083677E">
        <w:t xml:space="preserve">potential </w:t>
      </w:r>
      <w:r w:rsidRPr="0083677E">
        <w:t xml:space="preserve">impact pathways, undertake an integrated risk assessment across all specialist disciplines and assess the potential impacts of </w:t>
      </w:r>
      <w:r w:rsidR="00514D82" w:rsidRPr="0083677E">
        <w:t>Melbourne Metro</w:t>
      </w:r>
      <w:r w:rsidRPr="0083677E">
        <w:t xml:space="preserve">. Through the specialist </w:t>
      </w:r>
      <w:r w:rsidR="00DD241D">
        <w:t>impacts assessments</w:t>
      </w:r>
      <w:r w:rsidRPr="0083677E">
        <w:t>, recommended Environmental Performance</w:t>
      </w:r>
      <w:r w:rsidR="002A4734" w:rsidRPr="0083677E">
        <w:t> </w:t>
      </w:r>
      <w:r w:rsidRPr="0083677E">
        <w:t xml:space="preserve">Requirements have been developed to manage impacts to acceptable levels. The approach to specialist assessments is further described in Sections </w:t>
      </w:r>
      <w:r w:rsidR="008F14A1" w:rsidRPr="0083677E">
        <w:fldChar w:fldCharType="begin"/>
      </w:r>
      <w:r w:rsidR="008F14A1" w:rsidRPr="0083677E">
        <w:instrText xml:space="preserve"> REF _Ref447240885 \w \h </w:instrText>
      </w:r>
      <w:r w:rsidR="008F14A1" w:rsidRPr="0083677E">
        <w:fldChar w:fldCharType="separate"/>
      </w:r>
      <w:r w:rsidR="005A6DF0">
        <w:rPr>
          <w:cs/>
        </w:rPr>
        <w:t>‎</w:t>
      </w:r>
      <w:r w:rsidR="005A6DF0">
        <w:t>4.5</w:t>
      </w:r>
      <w:r w:rsidR="008F14A1" w:rsidRPr="0083677E">
        <w:fldChar w:fldCharType="end"/>
      </w:r>
      <w:r w:rsidR="008F14A1" w:rsidRPr="0083677E">
        <w:t xml:space="preserve"> </w:t>
      </w:r>
      <w:r w:rsidRPr="0083677E">
        <w:t xml:space="preserve">and </w:t>
      </w:r>
      <w:r w:rsidR="003E281E" w:rsidRPr="0083677E">
        <w:fldChar w:fldCharType="begin"/>
      </w:r>
      <w:r w:rsidR="003E281E" w:rsidRPr="0083677E">
        <w:instrText xml:space="preserve"> REF _Ref448608776 \r \h </w:instrText>
      </w:r>
      <w:r w:rsidR="003E281E" w:rsidRPr="0083677E">
        <w:fldChar w:fldCharType="separate"/>
      </w:r>
      <w:r w:rsidR="005A6DF0">
        <w:rPr>
          <w:cs/>
        </w:rPr>
        <w:t>‎</w:t>
      </w:r>
      <w:r w:rsidR="005A6DF0">
        <w:t>4.6</w:t>
      </w:r>
      <w:r w:rsidR="003E281E" w:rsidRPr="0083677E">
        <w:fldChar w:fldCharType="end"/>
      </w:r>
      <w:r w:rsidRPr="0083677E">
        <w:t>.</w:t>
      </w:r>
    </w:p>
    <w:p w14:paraId="087704B6" w14:textId="7E7BCBA2" w:rsidR="00D94D81" w:rsidRPr="0083677E" w:rsidRDefault="00D94D81" w:rsidP="00D81838">
      <w:pPr>
        <w:pStyle w:val="Caption"/>
      </w:pPr>
      <w:bookmarkStart w:id="5" w:name="_Ref444204351"/>
      <w:r w:rsidRPr="0083677E">
        <w:lastRenderedPageBreak/>
        <w:t>Figure </w:t>
      </w:r>
      <w:r w:rsidR="00E920FA">
        <w:fldChar w:fldCharType="begin"/>
      </w:r>
      <w:r w:rsidR="00E920FA">
        <w:instrText xml:space="preserve"> STYLEREF 1 \s </w:instrText>
      </w:r>
      <w:r w:rsidR="00E920FA">
        <w:fldChar w:fldCharType="separate"/>
      </w:r>
      <w:r w:rsidR="005A6DF0">
        <w:rPr>
          <w:noProof/>
          <w:cs/>
        </w:rPr>
        <w:t>‎</w:t>
      </w:r>
      <w:r w:rsidR="005A6DF0">
        <w:rPr>
          <w:noProof/>
        </w:rPr>
        <w:t>4</w:t>
      </w:r>
      <w:r w:rsidR="00E920FA">
        <w:rPr>
          <w:noProof/>
        </w:rPr>
        <w:fldChar w:fldCharType="end"/>
      </w:r>
      <w:r w:rsidR="00614370" w:rsidRPr="0083677E">
        <w:noBreakHyphen/>
      </w:r>
      <w:r w:rsidR="00E920FA">
        <w:fldChar w:fldCharType="begin"/>
      </w:r>
      <w:r w:rsidR="00E920FA">
        <w:instrText xml:space="preserve"> SEQ Figure \* ARABIC \s 1 </w:instrText>
      </w:r>
      <w:r w:rsidR="00E920FA">
        <w:fldChar w:fldCharType="separate"/>
      </w:r>
      <w:r w:rsidR="005A6DF0">
        <w:rPr>
          <w:noProof/>
        </w:rPr>
        <w:t>1</w:t>
      </w:r>
      <w:r w:rsidR="00E920FA">
        <w:rPr>
          <w:noProof/>
        </w:rPr>
        <w:fldChar w:fldCharType="end"/>
      </w:r>
      <w:bookmarkEnd w:id="5"/>
      <w:r w:rsidRPr="0083677E">
        <w:tab/>
        <w:t>EES Assessment Framework</w:t>
      </w:r>
    </w:p>
    <w:p w14:paraId="3E995E36" w14:textId="4859BB1E" w:rsidR="00024FF8" w:rsidRPr="0083677E" w:rsidRDefault="00AC6453" w:rsidP="008476AC">
      <w:pPr>
        <w:pStyle w:val="ObjectWide"/>
        <w:ind w:left="-567"/>
      </w:pPr>
      <w:r>
        <w:drawing>
          <wp:inline distT="0" distB="0" distL="0" distR="0" wp14:anchorId="0E0D3E61" wp14:editId="46F6AC49">
            <wp:extent cx="5265090" cy="5004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1.png"/>
                    <pic:cNvPicPr/>
                  </pic:nvPicPr>
                  <pic:blipFill>
                    <a:blip r:embed="rId11">
                      <a:extLst>
                        <a:ext uri="{28A0092B-C50C-407E-A947-70E740481C1C}">
                          <a14:useLocalDpi xmlns:a14="http://schemas.microsoft.com/office/drawing/2010/main" val="0"/>
                        </a:ext>
                      </a:extLst>
                    </a:blip>
                    <a:stretch>
                      <a:fillRect/>
                    </a:stretch>
                  </pic:blipFill>
                  <pic:spPr>
                    <a:xfrm>
                      <a:off x="0" y="0"/>
                      <a:ext cx="5265090" cy="5004000"/>
                    </a:xfrm>
                    <a:prstGeom prst="rect">
                      <a:avLst/>
                    </a:prstGeom>
                  </pic:spPr>
                </pic:pic>
              </a:graphicData>
            </a:graphic>
          </wp:inline>
        </w:drawing>
      </w:r>
    </w:p>
    <w:p w14:paraId="1CC015E3" w14:textId="77777777" w:rsidR="00024FF8" w:rsidRPr="0083677E" w:rsidRDefault="00024FF8" w:rsidP="002A4734">
      <w:pPr>
        <w:pStyle w:val="Source"/>
        <w:sectPr w:rsidR="00024FF8" w:rsidRPr="0083677E" w:rsidSect="006832F9">
          <w:footerReference w:type="even" r:id="rId12"/>
          <w:footerReference w:type="default" r:id="rId13"/>
          <w:headerReference w:type="first" r:id="rId14"/>
          <w:footerReference w:type="first" r:id="rId15"/>
          <w:type w:val="oddPage"/>
          <w:pgSz w:w="11906" w:h="16838" w:code="9"/>
          <w:pgMar w:top="1701" w:right="1418" w:bottom="1701" w:left="3289" w:header="567" w:footer="567" w:gutter="0"/>
          <w:pgNumType w:start="1" w:chapStyle="1" w:chapSep="enDash"/>
          <w:cols w:space="708"/>
          <w:docGrid w:linePitch="360"/>
        </w:sectPr>
      </w:pPr>
    </w:p>
    <w:p w14:paraId="2DB16B25" w14:textId="77777777" w:rsidR="002A4734" w:rsidRPr="0083677E" w:rsidRDefault="002A4734" w:rsidP="00C126EB">
      <w:pPr>
        <w:pStyle w:val="Heading2"/>
      </w:pPr>
      <w:bookmarkStart w:id="6" w:name="_Toc450894354"/>
      <w:bookmarkStart w:id="7" w:name="_Ref445656667"/>
      <w:r w:rsidRPr="0083677E">
        <w:lastRenderedPageBreak/>
        <w:t>Relevant Legislation and Policies</w:t>
      </w:r>
      <w:bookmarkEnd w:id="6"/>
    </w:p>
    <w:p w14:paraId="0A6824D0" w14:textId="3B37BF3C" w:rsidR="002A4734" w:rsidRPr="0083677E" w:rsidRDefault="002A4734" w:rsidP="00F26DCC">
      <w:pPr>
        <w:pStyle w:val="BodyText"/>
        <w:ind w:right="-113"/>
      </w:pPr>
      <w:r w:rsidRPr="0083677E">
        <w:t xml:space="preserve">Legislation, policies and guidelines relevant to Melbourne Metro are outlined in </w:t>
      </w:r>
      <w:r w:rsidR="00C36150" w:rsidRPr="0083677E">
        <w:fldChar w:fldCharType="begin"/>
      </w:r>
      <w:r w:rsidR="00C36150" w:rsidRPr="0083677E">
        <w:instrText xml:space="preserve"> REF _Ref448608439 \h </w:instrText>
      </w:r>
      <w:r w:rsidR="00C36150" w:rsidRPr="0083677E">
        <w:fldChar w:fldCharType="separate"/>
      </w:r>
      <w:r w:rsidR="005A6DF0" w:rsidRPr="0083677E">
        <w:t>Table</w:t>
      </w:r>
      <w:r w:rsidR="005A6DF0">
        <w:t> </w:t>
      </w:r>
      <w:r w:rsidR="005A6DF0">
        <w:rPr>
          <w:noProof/>
          <w:cs/>
        </w:rPr>
        <w:t>‎</w:t>
      </w:r>
      <w:r w:rsidR="005A6DF0">
        <w:rPr>
          <w:noProof/>
        </w:rPr>
        <w:t>4</w:t>
      </w:r>
      <w:r w:rsidR="005A6DF0" w:rsidRPr="0083677E">
        <w:t>–</w:t>
      </w:r>
      <w:r w:rsidR="005A6DF0">
        <w:rPr>
          <w:noProof/>
        </w:rPr>
        <w:t>1</w:t>
      </w:r>
      <w:r w:rsidR="00C36150" w:rsidRPr="0083677E">
        <w:fldChar w:fldCharType="end"/>
      </w:r>
      <w:r w:rsidRPr="0083677E">
        <w:t xml:space="preserve"> and presented against the relevant draft evaluation objectives. The table describes how key legislation, policies and guidelines relate to the project and any implications for the approvals required for Melbourne Metro to proceed.</w:t>
      </w:r>
    </w:p>
    <w:p w14:paraId="101457E5" w14:textId="500ED59F" w:rsidR="00D94D81" w:rsidRPr="0083677E" w:rsidRDefault="00024FF8" w:rsidP="00C2013B">
      <w:pPr>
        <w:pStyle w:val="Caption"/>
        <w:spacing w:before="120"/>
      </w:pPr>
      <w:bookmarkStart w:id="8" w:name="_Ref448608439"/>
      <w:r w:rsidRPr="0083677E">
        <w:t>Table</w:t>
      </w:r>
      <w:r w:rsidR="0038622D">
        <w:t> </w:t>
      </w:r>
      <w:r w:rsidR="00E920FA">
        <w:fldChar w:fldCharType="begin"/>
      </w:r>
      <w:r w:rsidR="00E920FA">
        <w:instrText xml:space="preserve"> STYLEREF 1 \s </w:instrText>
      </w:r>
      <w:r w:rsidR="00E920FA">
        <w:fldChar w:fldCharType="separate"/>
      </w:r>
      <w:r w:rsidR="005A6DF0">
        <w:rPr>
          <w:noProof/>
          <w:cs/>
        </w:rPr>
        <w:t>‎</w:t>
      </w:r>
      <w:r w:rsidR="005A6DF0">
        <w:rPr>
          <w:noProof/>
        </w:rPr>
        <w:t>4</w:t>
      </w:r>
      <w:r w:rsidR="00E920FA">
        <w:rPr>
          <w:noProof/>
        </w:rPr>
        <w:fldChar w:fldCharType="end"/>
      </w:r>
      <w:r w:rsidR="004D3B36" w:rsidRPr="0083677E">
        <w:t>–</w:t>
      </w:r>
      <w:r w:rsidR="00E920FA">
        <w:fldChar w:fldCharType="begin"/>
      </w:r>
      <w:r w:rsidR="00E920FA">
        <w:instrText xml:space="preserve"> SEQ Table \* ARABIC \s 1 </w:instrText>
      </w:r>
      <w:r w:rsidR="00E920FA">
        <w:fldChar w:fldCharType="separate"/>
      </w:r>
      <w:r w:rsidR="005A6DF0">
        <w:rPr>
          <w:noProof/>
        </w:rPr>
        <w:t>1</w:t>
      </w:r>
      <w:r w:rsidR="00E920FA">
        <w:rPr>
          <w:noProof/>
        </w:rPr>
        <w:fldChar w:fldCharType="end"/>
      </w:r>
      <w:bookmarkEnd w:id="7"/>
      <w:bookmarkEnd w:id="8"/>
      <w:r w:rsidRPr="0083677E">
        <w:tab/>
      </w:r>
      <w:proofErr w:type="gramStart"/>
      <w:r w:rsidR="00627DD4" w:rsidRPr="0083677E">
        <w:t>Relevant</w:t>
      </w:r>
      <w:proofErr w:type="gramEnd"/>
      <w:r w:rsidR="00627DD4" w:rsidRPr="0083677E">
        <w:t xml:space="preserve"> l</w:t>
      </w:r>
      <w:r w:rsidR="00D94D81" w:rsidRPr="0083677E">
        <w:t>egislation, policy</w:t>
      </w:r>
      <w:r w:rsidR="00AD6031" w:rsidRPr="0083677E">
        <w:t xml:space="preserve"> </w:t>
      </w:r>
      <w:r w:rsidR="00672EF0" w:rsidRPr="0083677E">
        <w:t>strategies</w:t>
      </w:r>
    </w:p>
    <w:tbl>
      <w:tblPr>
        <w:tblStyle w:val="MainTableStyle"/>
        <w:tblW w:w="0" w:type="auto"/>
        <w:tblLayout w:type="fixed"/>
        <w:tblLook w:val="06A0" w:firstRow="1" w:lastRow="0" w:firstColumn="1" w:lastColumn="0" w:noHBand="1" w:noVBand="1"/>
      </w:tblPr>
      <w:tblGrid>
        <w:gridCol w:w="2269"/>
        <w:gridCol w:w="6660"/>
        <w:gridCol w:w="3654"/>
        <w:gridCol w:w="1635"/>
      </w:tblGrid>
      <w:tr w:rsidR="004B1D4C" w:rsidRPr="0083677E" w14:paraId="4F000978" w14:textId="77777777" w:rsidTr="00C20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777CA908" w14:textId="49CB644D" w:rsidR="004B1D4C" w:rsidRPr="0083677E" w:rsidRDefault="009F548D" w:rsidP="00C2013B">
            <w:pPr>
              <w:pStyle w:val="TableText"/>
            </w:pPr>
            <w:r w:rsidRPr="0083677E">
              <w:t xml:space="preserve">Draft </w:t>
            </w:r>
            <w:r w:rsidR="004B1D4C" w:rsidRPr="0083677E">
              <w:t>EES evaluation objective</w:t>
            </w:r>
          </w:p>
        </w:tc>
        <w:tc>
          <w:tcPr>
            <w:tcW w:w="6660" w:type="dxa"/>
          </w:tcPr>
          <w:p w14:paraId="046D84A2" w14:textId="77777777" w:rsidR="004B1D4C" w:rsidRPr="0083677E" w:rsidRDefault="004B1D4C" w:rsidP="00C2013B">
            <w:pPr>
              <w:pStyle w:val="TableText"/>
              <w:cnfStyle w:val="100000000000" w:firstRow="1" w:lastRow="0" w:firstColumn="0" w:lastColumn="0" w:oddVBand="0" w:evenVBand="0" w:oddHBand="0" w:evenHBand="0" w:firstRowFirstColumn="0" w:firstRowLastColumn="0" w:lastRowFirstColumn="0" w:lastRowLastColumn="0"/>
            </w:pPr>
            <w:r w:rsidRPr="0083677E">
              <w:t>Relevant legislation</w:t>
            </w:r>
          </w:p>
        </w:tc>
        <w:tc>
          <w:tcPr>
            <w:tcW w:w="3654" w:type="dxa"/>
          </w:tcPr>
          <w:p w14:paraId="7885DD8A" w14:textId="452E9008" w:rsidR="004B1D4C" w:rsidRPr="0083677E" w:rsidRDefault="004B1D4C" w:rsidP="00C2013B">
            <w:pPr>
              <w:pStyle w:val="TableText"/>
              <w:cnfStyle w:val="100000000000" w:firstRow="1" w:lastRow="0" w:firstColumn="0" w:lastColumn="0" w:oddVBand="0" w:evenVBand="0" w:oddHBand="0" w:evenHBand="0" w:firstRowFirstColumn="0" w:firstRowLastColumn="0" w:lastRowFirstColumn="0" w:lastRowLastColumn="0"/>
            </w:pPr>
            <w:r w:rsidRPr="0083677E">
              <w:t xml:space="preserve">Key policies and </w:t>
            </w:r>
            <w:r w:rsidR="00672EF0" w:rsidRPr="0083677E">
              <w:t>strategies</w:t>
            </w:r>
          </w:p>
        </w:tc>
        <w:tc>
          <w:tcPr>
            <w:tcW w:w="1635" w:type="dxa"/>
          </w:tcPr>
          <w:p w14:paraId="4290FB28" w14:textId="77777777" w:rsidR="004B1D4C" w:rsidRPr="0083677E" w:rsidRDefault="004B1D4C" w:rsidP="00C2013B">
            <w:pPr>
              <w:pStyle w:val="TableText"/>
              <w:cnfStyle w:val="100000000000" w:firstRow="1" w:lastRow="0" w:firstColumn="0" w:lastColumn="0" w:oddVBand="0" w:evenVBand="0" w:oddHBand="0" w:evenHBand="0" w:firstRowFirstColumn="0" w:firstRowLastColumn="0" w:lastRowFirstColumn="0" w:lastRowLastColumn="0"/>
            </w:pPr>
            <w:r w:rsidRPr="0083677E">
              <w:t xml:space="preserve">Further information </w:t>
            </w:r>
          </w:p>
        </w:tc>
      </w:tr>
      <w:tr w:rsidR="004B1D4C" w:rsidRPr="0083677E" w14:paraId="460BD324"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4F781590" w14:textId="77777777" w:rsidR="004B1D4C" w:rsidRPr="0083677E" w:rsidRDefault="004B1D4C" w:rsidP="00600D77">
            <w:pPr>
              <w:pStyle w:val="TableText"/>
            </w:pPr>
            <w:r w:rsidRPr="0083677E">
              <w:rPr>
                <w:b/>
              </w:rPr>
              <w:t>Transport connectivity</w:t>
            </w:r>
          </w:p>
          <w:p w14:paraId="4CE00E67" w14:textId="77777777" w:rsidR="004B1D4C" w:rsidRPr="0083677E" w:rsidRDefault="004B1D4C" w:rsidP="00600D77">
            <w:pPr>
              <w:pStyle w:val="TableText"/>
            </w:pPr>
            <w:r w:rsidRPr="0083677E">
              <w:t>– To enable a significant increase in the capacity of the metropolitan rail network and provide multimodal connections, while adequately managing effects of the works on the broader transport network, both during and after the construction of the project</w:t>
            </w:r>
          </w:p>
        </w:tc>
        <w:tc>
          <w:tcPr>
            <w:tcW w:w="6660" w:type="dxa"/>
          </w:tcPr>
          <w:p w14:paraId="4A955E22" w14:textId="77777777" w:rsidR="004B1D4C" w:rsidRPr="0083677E" w:rsidRDefault="004B1D4C" w:rsidP="00AE5052">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w:t>
            </w:r>
            <w:r w:rsidRPr="0083677E">
              <w:rPr>
                <w:rStyle w:val="CharacterStyle-Italic"/>
              </w:rPr>
              <w:t>Transport Integration Act 2010</w:t>
            </w:r>
            <w:r w:rsidRPr="0083677E">
              <w:t xml:space="preserve"> establishes a framework for an integrated and sustainable transport system. Transport agencies and interface agencies listed under the Act must have regard to its objectives and principles when exercising their powers and performing their functions.</w:t>
            </w:r>
          </w:p>
          <w:p w14:paraId="5F491A96" w14:textId="77777777" w:rsidR="004B1D4C" w:rsidRPr="0083677E" w:rsidRDefault="004B1D4C" w:rsidP="00AE5052">
            <w:pPr>
              <w:pStyle w:val="TableText"/>
              <w:cnfStyle w:val="000000000000" w:firstRow="0" w:lastRow="0" w:firstColumn="0" w:lastColumn="0" w:oddVBand="0" w:evenVBand="0" w:oddHBand="0" w:evenHBand="0" w:firstRowFirstColumn="0" w:firstRowLastColumn="0" w:lastRowFirstColumn="0" w:lastRowLastColumn="0"/>
            </w:pPr>
            <w:r w:rsidRPr="0083677E">
              <w:t>Section 19 of the Act requires a commitment to sustainability through the use of the precautionary principle, which means that if there are threats of serious or irreversible environmental damage, the lack of full scientific certainty should not be used as a reason for postponing measures to prevent environmental degradation.</w:t>
            </w:r>
          </w:p>
          <w:p w14:paraId="128DDD56" w14:textId="77777777" w:rsidR="004B1D4C" w:rsidRPr="0083677E" w:rsidRDefault="004B1D4C" w:rsidP="00AE5052">
            <w:pPr>
              <w:pStyle w:val="TableText"/>
              <w:cnfStyle w:val="000000000000" w:firstRow="0" w:lastRow="0" w:firstColumn="0" w:lastColumn="0" w:oddVBand="0" w:evenVBand="0" w:oddHBand="0" w:evenHBand="0" w:firstRowFirstColumn="0" w:firstRowLastColumn="0" w:lastRowFirstColumn="0" w:lastRowLastColumn="0"/>
            </w:pPr>
            <w:r w:rsidRPr="0083677E">
              <w:t>The Act provides a basis for assessing the consistency of Melbourne Metro with transport system objectives relating to:</w:t>
            </w:r>
          </w:p>
          <w:p w14:paraId="6770F4D8" w14:textId="77777777" w:rsidR="004B1D4C" w:rsidRPr="0083677E" w:rsidRDefault="004B1D4C" w:rsidP="00AE5052">
            <w:pPr>
              <w:pStyle w:val="TableBullet1"/>
              <w:cnfStyle w:val="000000000000" w:firstRow="0" w:lastRow="0" w:firstColumn="0" w:lastColumn="0" w:oddVBand="0" w:evenVBand="0" w:oddHBand="0" w:evenHBand="0" w:firstRowFirstColumn="0" w:firstRowLastColumn="0" w:lastRowFirstColumn="0" w:lastRowLastColumn="0"/>
            </w:pPr>
            <w:r w:rsidRPr="0083677E">
              <w:t>Social and economic inclusion</w:t>
            </w:r>
          </w:p>
          <w:p w14:paraId="736E030B" w14:textId="77777777" w:rsidR="004B1D4C" w:rsidRPr="0083677E" w:rsidRDefault="004B1D4C" w:rsidP="00AE5052">
            <w:pPr>
              <w:pStyle w:val="TableBullet1"/>
              <w:cnfStyle w:val="000000000000" w:firstRow="0" w:lastRow="0" w:firstColumn="0" w:lastColumn="0" w:oddVBand="0" w:evenVBand="0" w:oddHBand="0" w:evenHBand="0" w:firstRowFirstColumn="0" w:firstRowLastColumn="0" w:lastRowFirstColumn="0" w:lastRowLastColumn="0"/>
            </w:pPr>
            <w:r w:rsidRPr="0083677E">
              <w:t>Economic prosperity</w:t>
            </w:r>
          </w:p>
          <w:p w14:paraId="5E77B182" w14:textId="77777777" w:rsidR="004B1D4C" w:rsidRPr="0083677E" w:rsidRDefault="004B1D4C" w:rsidP="00AE5052">
            <w:pPr>
              <w:pStyle w:val="TableBullet1"/>
              <w:cnfStyle w:val="000000000000" w:firstRow="0" w:lastRow="0" w:firstColumn="0" w:lastColumn="0" w:oddVBand="0" w:evenVBand="0" w:oddHBand="0" w:evenHBand="0" w:firstRowFirstColumn="0" w:firstRowLastColumn="0" w:lastRowFirstColumn="0" w:lastRowLastColumn="0"/>
            </w:pPr>
            <w:r w:rsidRPr="0083677E">
              <w:t>Environmental sustainability</w:t>
            </w:r>
          </w:p>
          <w:p w14:paraId="30E1B373" w14:textId="77777777" w:rsidR="004B1D4C" w:rsidRPr="0083677E" w:rsidRDefault="004B1D4C" w:rsidP="00AE5052">
            <w:pPr>
              <w:pStyle w:val="TableBullet1"/>
              <w:cnfStyle w:val="000000000000" w:firstRow="0" w:lastRow="0" w:firstColumn="0" w:lastColumn="0" w:oddVBand="0" w:evenVBand="0" w:oddHBand="0" w:evenHBand="0" w:firstRowFirstColumn="0" w:firstRowLastColumn="0" w:lastRowFirstColumn="0" w:lastRowLastColumn="0"/>
            </w:pPr>
            <w:r w:rsidRPr="0083677E">
              <w:t>Integration of transport and land use</w:t>
            </w:r>
          </w:p>
          <w:p w14:paraId="5DAE19D8" w14:textId="77777777" w:rsidR="004B1D4C" w:rsidRPr="0083677E" w:rsidRDefault="004B1D4C" w:rsidP="00AE5052">
            <w:pPr>
              <w:pStyle w:val="TableBullet1"/>
              <w:cnfStyle w:val="000000000000" w:firstRow="0" w:lastRow="0" w:firstColumn="0" w:lastColumn="0" w:oddVBand="0" w:evenVBand="0" w:oddHBand="0" w:evenHBand="0" w:firstRowFirstColumn="0" w:firstRowLastColumn="0" w:lastRowFirstColumn="0" w:lastRowLastColumn="0"/>
            </w:pPr>
            <w:r w:rsidRPr="0083677E">
              <w:t>Efficiency, coordination and reliability</w:t>
            </w:r>
          </w:p>
          <w:p w14:paraId="7B224FDA" w14:textId="77777777" w:rsidR="004B1D4C" w:rsidRPr="0083677E" w:rsidRDefault="004B1D4C" w:rsidP="00AE5052">
            <w:pPr>
              <w:pStyle w:val="TableBullet1"/>
              <w:cnfStyle w:val="000000000000" w:firstRow="0" w:lastRow="0" w:firstColumn="0" w:lastColumn="0" w:oddVBand="0" w:evenVBand="0" w:oddHBand="0" w:evenHBand="0" w:firstRowFirstColumn="0" w:firstRowLastColumn="0" w:lastRowFirstColumn="0" w:lastRowLastColumn="0"/>
            </w:pPr>
            <w:r w:rsidRPr="0083677E">
              <w:t>Safety, health and wellbeing.</w:t>
            </w:r>
          </w:p>
          <w:p w14:paraId="6E5E5CF9" w14:textId="68879A07" w:rsidR="004B1D4C" w:rsidRPr="0083677E" w:rsidRDefault="004B1D4C" w:rsidP="00AE5052">
            <w:pPr>
              <w:pStyle w:val="TableText"/>
              <w:cnfStyle w:val="000000000000" w:firstRow="0" w:lastRow="0" w:firstColumn="0" w:lastColumn="0" w:oddVBand="0" w:evenVBand="0" w:oddHBand="0" w:evenHBand="0" w:firstRowFirstColumn="0" w:firstRowLastColumn="0" w:lastRowFirstColumn="0" w:lastRowLastColumn="0"/>
            </w:pPr>
            <w:r w:rsidRPr="0083677E">
              <w:t>The triple bottom line approach</w:t>
            </w:r>
            <w:r w:rsidR="0080353C">
              <w:t xml:space="preserve"> contained </w:t>
            </w:r>
            <w:r w:rsidRPr="0083677E">
              <w:t>in the Act has been adopted in the assessment framework that has been used for the Melbourne Metro options assessment.</w:t>
            </w:r>
          </w:p>
          <w:p w14:paraId="3521A32F" w14:textId="77777777" w:rsidR="004B1D4C" w:rsidRPr="0083677E" w:rsidRDefault="004B1D4C" w:rsidP="004B1D4C">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No approval is required under the </w:t>
            </w:r>
            <w:r w:rsidRPr="0083677E">
              <w:rPr>
                <w:rStyle w:val="CharacterStyle-Italic"/>
                <w:i w:val="0"/>
              </w:rPr>
              <w:t>Act.</w:t>
            </w:r>
          </w:p>
        </w:tc>
        <w:tc>
          <w:tcPr>
            <w:tcW w:w="3654" w:type="dxa"/>
            <w:vMerge w:val="restart"/>
          </w:tcPr>
          <w:p w14:paraId="667E1D1C" w14:textId="2580AD5B"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rPr>
                <w:rStyle w:val="CharacterStyle-Italic"/>
              </w:rPr>
              <w:t>Plan Melbourne</w:t>
            </w:r>
            <w:r w:rsidRPr="0083677E">
              <w:t xml:space="preserve"> identifies the previously proposed Melbourne Rail Link project. This document is being refreshed and is due for release in 2016. The </w:t>
            </w:r>
            <w:r w:rsidRPr="0083677E">
              <w:rPr>
                <w:rStyle w:val="CharacterStyle-Italic"/>
              </w:rPr>
              <w:t>Plan Melbourne Refresh Discussion Paper</w:t>
            </w:r>
            <w:r w:rsidRPr="0083677E">
              <w:t xml:space="preserve"> identifies Melbourne Metro as a priority transport project that 'includes new stations to generate land use and interchange opportunities, particularly around Arden and Parkville’.</w:t>
            </w:r>
          </w:p>
          <w:p w14:paraId="0F2FAF9D" w14:textId="77777777" w:rsidR="004B1D4C" w:rsidRPr="0083677E" w:rsidRDefault="004B1D4C" w:rsidP="00D70A54">
            <w:pPr>
              <w:pStyle w:val="TableText"/>
              <w:cnfStyle w:val="000000000000" w:firstRow="0" w:lastRow="0" w:firstColumn="0" w:lastColumn="0" w:oddVBand="0" w:evenVBand="0" w:oddHBand="0" w:evenHBand="0" w:firstRowFirstColumn="0" w:firstRowLastColumn="0" w:lastRowFirstColumn="0" w:lastRowLastColumn="0"/>
            </w:pPr>
            <w:r w:rsidRPr="0083677E">
              <w:t xml:space="preserve">PTV’s </w:t>
            </w:r>
            <w:r w:rsidRPr="0083677E">
              <w:rPr>
                <w:rStyle w:val="CharacterStyle-Italic"/>
              </w:rPr>
              <w:t>Network Development Plan</w:t>
            </w:r>
            <w:r w:rsidRPr="0083677E">
              <w:t xml:space="preserve"> – </w:t>
            </w:r>
            <w:r w:rsidRPr="0083677E">
              <w:rPr>
                <w:rStyle w:val="CharacterStyle-Italic"/>
              </w:rPr>
              <w:t xml:space="preserve">Metropolitan Rail </w:t>
            </w:r>
            <w:r w:rsidRPr="0083677E">
              <w:t>identifies Melbourne Metro as a key project to address congestion, respond to patronage demand increases, improve reliability, enhance accessibility and improve the city’s productivity.</w:t>
            </w:r>
          </w:p>
        </w:tc>
        <w:tc>
          <w:tcPr>
            <w:tcW w:w="1635" w:type="dxa"/>
            <w:vMerge w:val="restart"/>
          </w:tcPr>
          <w:p w14:paraId="3370D7DA" w14:textId="77777777" w:rsidR="004B1D4C" w:rsidRPr="0083677E" w:rsidRDefault="004B1D4C" w:rsidP="00024FF8">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5 </w:t>
            </w:r>
            <w:r w:rsidRPr="0083677E">
              <w:rPr>
                <w:rStyle w:val="CharacterStyle-Italic"/>
              </w:rPr>
              <w:t>Project Development</w:t>
            </w:r>
          </w:p>
          <w:p w14:paraId="0B159A6B" w14:textId="77777777" w:rsidR="004B1D4C" w:rsidRPr="0083677E" w:rsidRDefault="004B1D4C" w:rsidP="00024FF8">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8 </w:t>
            </w:r>
            <w:r w:rsidRPr="0083677E">
              <w:rPr>
                <w:rStyle w:val="CharacterStyle-Italic"/>
              </w:rPr>
              <w:t>Transport</w:t>
            </w:r>
          </w:p>
          <w:p w14:paraId="56D1B4A4" w14:textId="77777777" w:rsidR="004B1D4C" w:rsidRPr="0083677E" w:rsidRDefault="004B1D4C" w:rsidP="00024FF8">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D </w:t>
            </w:r>
            <w:r w:rsidRPr="0083677E">
              <w:rPr>
                <w:rStyle w:val="CharacterStyle-Italic"/>
              </w:rPr>
              <w:t>Transport</w:t>
            </w:r>
          </w:p>
        </w:tc>
      </w:tr>
      <w:tr w:rsidR="004B1D4C" w:rsidRPr="0083677E" w14:paraId="67016BE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4EAFE491" w14:textId="77777777" w:rsidR="004B1D4C" w:rsidRPr="0083677E" w:rsidRDefault="004B1D4C" w:rsidP="00600D77">
            <w:pPr>
              <w:pStyle w:val="TableText"/>
              <w:rPr>
                <w:b/>
              </w:rPr>
            </w:pPr>
          </w:p>
        </w:tc>
        <w:tc>
          <w:tcPr>
            <w:tcW w:w="6660" w:type="dxa"/>
          </w:tcPr>
          <w:p w14:paraId="4CE07C5F" w14:textId="77777777" w:rsidR="004B1D4C" w:rsidRPr="0083677E" w:rsidRDefault="004B1D4C" w:rsidP="00AE5052">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w:t>
            </w:r>
            <w:r w:rsidRPr="0083677E">
              <w:rPr>
                <w:rStyle w:val="CharacterStyle-Italic"/>
              </w:rPr>
              <w:t>Road Management Act 2004</w:t>
            </w:r>
            <w:r w:rsidRPr="0083677E">
              <w:t xml:space="preserve"> provides the statutory framework for VicRoads and local government to manage the Victorian road network. Consent may be required under the </w:t>
            </w:r>
            <w:r w:rsidRPr="0083677E">
              <w:rPr>
                <w:rStyle w:val="CharacterStyle-Italic"/>
                <w:i w:val="0"/>
              </w:rPr>
              <w:t>Act</w:t>
            </w:r>
            <w:r w:rsidRPr="0083677E">
              <w:t xml:space="preserve"> for works on, in or under any road.</w:t>
            </w:r>
          </w:p>
        </w:tc>
        <w:tc>
          <w:tcPr>
            <w:tcW w:w="3654" w:type="dxa"/>
            <w:vMerge/>
          </w:tcPr>
          <w:p w14:paraId="5B101F5A"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rPr>
                <w:rStyle w:val="CharacterStyle-Italic"/>
              </w:rPr>
            </w:pPr>
          </w:p>
        </w:tc>
        <w:tc>
          <w:tcPr>
            <w:tcW w:w="1635" w:type="dxa"/>
            <w:vMerge/>
          </w:tcPr>
          <w:p w14:paraId="148FAD8B" w14:textId="77777777" w:rsidR="004B1D4C" w:rsidRPr="0083677E" w:rsidRDefault="004B1D4C" w:rsidP="00024FF8">
            <w:pPr>
              <w:pStyle w:val="TableText"/>
              <w:cnfStyle w:val="000000000000" w:firstRow="0" w:lastRow="0" w:firstColumn="0" w:lastColumn="0" w:oddVBand="0" w:evenVBand="0" w:oddHBand="0" w:evenHBand="0" w:firstRowFirstColumn="0" w:firstRowLastColumn="0" w:lastRowFirstColumn="0" w:lastRowLastColumn="0"/>
            </w:pPr>
          </w:p>
        </w:tc>
      </w:tr>
      <w:tr w:rsidR="004B1D4C" w:rsidRPr="0083677E" w14:paraId="5AB0959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tcPr>
          <w:p w14:paraId="3C95AF3F" w14:textId="77777777" w:rsidR="004B1D4C" w:rsidRPr="0083677E" w:rsidRDefault="004B1D4C" w:rsidP="00024FF8">
            <w:pPr>
              <w:pStyle w:val="TableText"/>
              <w:rPr>
                <w:b/>
              </w:rPr>
            </w:pPr>
            <w:r w:rsidRPr="0083677E">
              <w:rPr>
                <w:b/>
              </w:rPr>
              <w:lastRenderedPageBreak/>
              <w:t xml:space="preserve">Built environment </w:t>
            </w:r>
          </w:p>
          <w:p w14:paraId="5570E96A" w14:textId="77777777" w:rsidR="004B1D4C" w:rsidRPr="0083677E" w:rsidRDefault="004B1D4C" w:rsidP="00024FF8">
            <w:pPr>
              <w:pStyle w:val="TableText"/>
            </w:pPr>
            <w:r w:rsidRPr="0083677E">
              <w:t>– To protect and enhance the character, form and function of the public realm and buildings within and adjacent to the project alignment, and particularly in the vicinity of project surface structures, having regard to the existing and evolving urban context</w:t>
            </w:r>
          </w:p>
        </w:tc>
        <w:tc>
          <w:tcPr>
            <w:tcW w:w="6660" w:type="dxa"/>
          </w:tcPr>
          <w:p w14:paraId="01D37CDC" w14:textId="0B0044D8" w:rsidR="004B1D4C" w:rsidRPr="0083677E" w:rsidRDefault="004B1D4C" w:rsidP="008F14A1">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The </w:t>
            </w:r>
            <w:r w:rsidRPr="0083677E">
              <w:rPr>
                <w:rStyle w:val="CharacterStyle-Italic"/>
              </w:rPr>
              <w:t>Planning and Environment Act 1987</w:t>
            </w:r>
            <w:r w:rsidRPr="0083677E">
              <w:t xml:space="preserve"> provides the framework for the use, development and protection of land in Victoria. </w:t>
            </w:r>
          </w:p>
        </w:tc>
        <w:tc>
          <w:tcPr>
            <w:tcW w:w="3654" w:type="dxa"/>
          </w:tcPr>
          <w:p w14:paraId="5CA58BC8" w14:textId="77777777" w:rsidR="0080353C" w:rsidRPr="00024FF8" w:rsidRDefault="0080353C" w:rsidP="0080353C">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rsidRPr="00024FF8">
              <w:t xml:space="preserve">Policies and strategies </w:t>
            </w:r>
            <w:r>
              <w:t>that have been considered</w:t>
            </w:r>
            <w:r w:rsidRPr="00024FF8">
              <w:t xml:space="preserve"> in</w:t>
            </w:r>
            <w:r>
              <w:t xml:space="preserve"> design and delivery of Melbourne Metro in</w:t>
            </w:r>
            <w:r w:rsidRPr="00024FF8">
              <w:t>clude:</w:t>
            </w:r>
          </w:p>
          <w:p w14:paraId="55F05BE9" w14:textId="356C49D6" w:rsidR="0080353C" w:rsidRDefault="0080353C" w:rsidP="0080353C">
            <w:pPr>
              <w:pStyle w:val="TableBullet1"/>
              <w:numPr>
                <w:ilvl w:val="0"/>
                <w:numId w:val="8"/>
              </w:numPr>
              <w:cnfStyle w:val="000000000000" w:firstRow="0" w:lastRow="0" w:firstColumn="0" w:lastColumn="0" w:oddVBand="0" w:evenVBand="0" w:oddHBand="0" w:evenHBand="0" w:firstRowFirstColumn="0" w:firstRowLastColumn="0" w:lastRowFirstColumn="0" w:lastRowLastColumn="0"/>
            </w:pPr>
            <w:r w:rsidRPr="00835A90">
              <w:t>Clause 15</w:t>
            </w:r>
            <w:r>
              <w:t xml:space="preserve"> of the Victoria Planning Provisions</w:t>
            </w:r>
            <w:r w:rsidRPr="00835A90">
              <w:t>: Built Environment and Heritage of the State Planning Policy Framework) of all planning schemes provides the basis for achi</w:t>
            </w:r>
            <w:r>
              <w:t>eving high quality urban design</w:t>
            </w:r>
          </w:p>
          <w:p w14:paraId="666AAE9B" w14:textId="77777777" w:rsidR="004B1D4C" w:rsidRPr="0083677E" w:rsidRDefault="004B1D4C" w:rsidP="00835A90">
            <w:pPr>
              <w:pStyle w:val="TableBullet1"/>
              <w:cnfStyle w:val="000000000000" w:firstRow="0" w:lastRow="0" w:firstColumn="0" w:lastColumn="0" w:oddVBand="0" w:evenVBand="0" w:oddHBand="0" w:evenHBand="0" w:firstRowFirstColumn="0" w:firstRowLastColumn="0" w:lastRowFirstColumn="0" w:lastRowLastColumn="0"/>
            </w:pPr>
            <w:r w:rsidRPr="0083677E">
              <w:t xml:space="preserve">Metropolitan Planning Strategy: </w:t>
            </w:r>
            <w:r w:rsidRPr="0083677E">
              <w:rPr>
                <w:rStyle w:val="CharacterStyle-Italic"/>
              </w:rPr>
              <w:t>Plan Melbourne</w:t>
            </w:r>
            <w:r w:rsidRPr="0083677E">
              <w:t xml:space="preserve"> (currently being revised)</w:t>
            </w:r>
          </w:p>
          <w:p w14:paraId="25B95FCE" w14:textId="77777777" w:rsidR="004B1D4C" w:rsidRPr="0083677E" w:rsidRDefault="004B1D4C" w:rsidP="00835A90">
            <w:pPr>
              <w:pStyle w:val="TableBullet1"/>
              <w:cnfStyle w:val="000000000000" w:firstRow="0" w:lastRow="0" w:firstColumn="0" w:lastColumn="0" w:oddVBand="0" w:evenVBand="0" w:oddHBand="0" w:evenHBand="0" w:firstRowFirstColumn="0" w:firstRowLastColumn="0" w:lastRowFirstColumn="0" w:lastRowLastColumn="0"/>
            </w:pPr>
            <w:r w:rsidRPr="0083677E">
              <w:t>Urban Design Charter for Victoria (Victorian Government, 2009)</w:t>
            </w:r>
          </w:p>
          <w:p w14:paraId="539D201A" w14:textId="77777777" w:rsidR="004B1D4C" w:rsidRPr="0083677E" w:rsidRDefault="004B1D4C" w:rsidP="00835A90">
            <w:pPr>
              <w:pStyle w:val="TableBullet1"/>
              <w:cnfStyle w:val="000000000000" w:firstRow="0" w:lastRow="0" w:firstColumn="0" w:lastColumn="0" w:oddVBand="0" w:evenVBand="0" w:oddHBand="0" w:evenHBand="0" w:firstRowFirstColumn="0" w:firstRowLastColumn="0" w:lastRowFirstColumn="0" w:lastRowLastColumn="0"/>
            </w:pPr>
            <w:r w:rsidRPr="0083677E">
              <w:t>Creating Places for People: an Urban Design Protocol for Australian Cities (Infrastructure Australia, 2011)</w:t>
            </w:r>
          </w:p>
          <w:p w14:paraId="4DE55D1C" w14:textId="77777777" w:rsidR="004B1D4C" w:rsidRPr="0083677E" w:rsidRDefault="004B1D4C" w:rsidP="00835A90">
            <w:pPr>
              <w:pStyle w:val="TableBullet1"/>
              <w:cnfStyle w:val="000000000000" w:firstRow="0" w:lastRow="0" w:firstColumn="0" w:lastColumn="0" w:oddVBand="0" w:evenVBand="0" w:oddHBand="0" w:evenHBand="0" w:firstRowFirstColumn="0" w:firstRowLastColumn="0" w:lastRowFirstColumn="0" w:lastRowLastColumn="0"/>
            </w:pPr>
            <w:r w:rsidRPr="0083677E">
              <w:t>Good Design + Transport (Office of the Victorian Government Architect, 2014).</w:t>
            </w:r>
          </w:p>
          <w:p w14:paraId="7331E8F0" w14:textId="55BE3213" w:rsidR="004B1D4C" w:rsidRPr="0083677E" w:rsidRDefault="0080353C" w:rsidP="00AC17FA">
            <w:pPr>
              <w:pStyle w:val="TableText"/>
              <w:cnfStyle w:val="000000000000" w:firstRow="0" w:lastRow="0" w:firstColumn="0" w:lastColumn="0" w:oddVBand="0" w:evenVBand="0" w:oddHBand="0" w:evenHBand="0" w:firstRowFirstColumn="0" w:firstRowLastColumn="0" w:lastRowFirstColumn="0" w:lastRowLastColumn="0"/>
            </w:pPr>
            <w:r>
              <w:t xml:space="preserve">Melbourne Metro responds </w:t>
            </w:r>
            <w:r w:rsidRPr="00024FF8">
              <w:t xml:space="preserve">to the principles of the Urban Design Charter for Victoria and associated strategies </w:t>
            </w:r>
            <w:r>
              <w:t>through the Urban Design Strategy for Melbourne Metro</w:t>
            </w:r>
          </w:p>
        </w:tc>
        <w:tc>
          <w:tcPr>
            <w:tcW w:w="1635" w:type="dxa"/>
          </w:tcPr>
          <w:p w14:paraId="5CC2435C"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6 </w:t>
            </w:r>
            <w:r w:rsidRPr="0083677E">
              <w:rPr>
                <w:rStyle w:val="CharacterStyle-Italic"/>
              </w:rPr>
              <w:t>Project Description</w:t>
            </w:r>
          </w:p>
          <w:p w14:paraId="239F0A26"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9 </w:t>
            </w:r>
            <w:r w:rsidRPr="0083677E">
              <w:rPr>
                <w:rStyle w:val="CharacterStyle-Italic"/>
              </w:rPr>
              <w:t>Land Use and Planning</w:t>
            </w:r>
            <w:r w:rsidRPr="0083677E">
              <w:t xml:space="preserve"> </w:t>
            </w:r>
          </w:p>
          <w:p w14:paraId="27551299" w14:textId="77777777" w:rsidR="004B1D4C" w:rsidRPr="0083677E" w:rsidRDefault="004B1D4C" w:rsidP="00AE5052">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14 </w:t>
            </w:r>
            <w:r w:rsidRPr="0083677E">
              <w:rPr>
                <w:rStyle w:val="CharacterStyle-Italic"/>
              </w:rPr>
              <w:t>Historical Cultural Heritage</w:t>
            </w:r>
          </w:p>
          <w:p w14:paraId="05B7334E" w14:textId="77777777" w:rsidR="004B1D4C" w:rsidRPr="0083677E" w:rsidRDefault="004B1D4C" w:rsidP="00AE5052">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16 </w:t>
            </w:r>
            <w:r w:rsidRPr="0083677E">
              <w:rPr>
                <w:rStyle w:val="CharacterStyle-Italic"/>
              </w:rPr>
              <w:t>Landscape and Visual</w:t>
            </w:r>
          </w:p>
          <w:p w14:paraId="6037E1E5"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E </w:t>
            </w:r>
            <w:r w:rsidRPr="0083677E">
              <w:rPr>
                <w:rStyle w:val="CharacterStyle-Italic"/>
              </w:rPr>
              <w:t>Land Use and Planning</w:t>
            </w:r>
            <w:r w:rsidRPr="0083677E">
              <w:t xml:space="preserve"> </w:t>
            </w:r>
          </w:p>
          <w:p w14:paraId="5AE1EE9F"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J </w:t>
            </w:r>
            <w:r w:rsidRPr="0083677E">
              <w:rPr>
                <w:rStyle w:val="CharacterStyle-Italic"/>
              </w:rPr>
              <w:t>Historical Cultural Heritage</w:t>
            </w:r>
          </w:p>
          <w:p w14:paraId="288C4133"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L </w:t>
            </w:r>
            <w:r w:rsidRPr="0083677E">
              <w:rPr>
                <w:rStyle w:val="CharacterStyle-Italic"/>
              </w:rPr>
              <w:t>Landscape and Visual</w:t>
            </w:r>
          </w:p>
          <w:p w14:paraId="27AE0989"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M </w:t>
            </w:r>
            <w:r w:rsidRPr="0083677E">
              <w:rPr>
                <w:rStyle w:val="CharacterStyle-Italic"/>
              </w:rPr>
              <w:t>Urban Design Strategy</w:t>
            </w:r>
          </w:p>
        </w:tc>
      </w:tr>
      <w:tr w:rsidR="002274F3" w:rsidRPr="0083677E" w14:paraId="3AFE91E8"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4367FDB3" w14:textId="77777777" w:rsidR="002274F3" w:rsidRPr="0083677E" w:rsidRDefault="002274F3" w:rsidP="00024FF8">
            <w:pPr>
              <w:pStyle w:val="TableText"/>
              <w:rPr>
                <w:b/>
              </w:rPr>
            </w:pPr>
            <w:r w:rsidRPr="0083677E">
              <w:rPr>
                <w:b/>
              </w:rPr>
              <w:lastRenderedPageBreak/>
              <w:t xml:space="preserve">Social, community, land use and business </w:t>
            </w:r>
          </w:p>
          <w:p w14:paraId="077CA42E" w14:textId="77777777" w:rsidR="002274F3" w:rsidRPr="0083677E" w:rsidRDefault="002274F3" w:rsidP="00024FF8">
            <w:pPr>
              <w:pStyle w:val="TableText"/>
            </w:pPr>
            <w:r w:rsidRPr="0083677E">
              <w:t>– To manage the effects on the social fabric of the community in the area of the project, including with regard to land use changes, community cohesion, business functionality and access to services and facilities, especially during the construction phase</w:t>
            </w:r>
          </w:p>
        </w:tc>
        <w:tc>
          <w:tcPr>
            <w:tcW w:w="6660" w:type="dxa"/>
          </w:tcPr>
          <w:p w14:paraId="53B33E9E" w14:textId="011FB87C" w:rsidR="002274F3" w:rsidRPr="0083677E" w:rsidRDefault="002274F3" w:rsidP="002274F3">
            <w:pPr>
              <w:pStyle w:val="TableText"/>
              <w:cnfStyle w:val="000000000000" w:firstRow="0" w:lastRow="0" w:firstColumn="0" w:lastColumn="0" w:oddVBand="0" w:evenVBand="0" w:oddHBand="0" w:evenHBand="0" w:firstRowFirstColumn="0" w:firstRowLastColumn="0" w:lastRowFirstColumn="0" w:lastRowLastColumn="0"/>
              <w:rPr>
                <w:rStyle w:val="CharacterStyle-Italic"/>
              </w:rPr>
            </w:pPr>
            <w:r w:rsidRPr="0083677E">
              <w:t xml:space="preserve">The </w:t>
            </w:r>
            <w:r w:rsidRPr="0083677E">
              <w:rPr>
                <w:rStyle w:val="CharacterStyle-Italic"/>
              </w:rPr>
              <w:t>Transport Integration Act 2010</w:t>
            </w:r>
            <w:r w:rsidRPr="0083677E">
              <w:t xml:space="preserve"> states that the transport system should provide for the effective integration of transport and land use and facilitate access to social and economic opportunities</w:t>
            </w:r>
            <w:r w:rsidR="00584A30" w:rsidRPr="0083677E">
              <w:rPr>
                <w:rStyle w:val="CharacterStyle-Italic"/>
              </w:rPr>
              <w:t>.</w:t>
            </w:r>
          </w:p>
          <w:p w14:paraId="1E761F4C" w14:textId="7C93F803" w:rsidR="002274F3" w:rsidRPr="0083677E" w:rsidRDefault="002274F3" w:rsidP="002274F3">
            <w:pPr>
              <w:pStyle w:val="TableText"/>
              <w:cnfStyle w:val="000000000000" w:firstRow="0" w:lastRow="0" w:firstColumn="0" w:lastColumn="0" w:oddVBand="0" w:evenVBand="0" w:oddHBand="0" w:evenHBand="0" w:firstRowFirstColumn="0" w:firstRowLastColumn="0" w:lastRowFirstColumn="0" w:lastRowLastColumn="0"/>
              <w:rPr>
                <w:i/>
              </w:rPr>
            </w:pPr>
            <w:r w:rsidRPr="0083677E">
              <w:t xml:space="preserve">MMRA and the Secretary </w:t>
            </w:r>
            <w:r w:rsidR="0080353C">
              <w:t>to</w:t>
            </w:r>
            <w:r w:rsidRPr="0083677E">
              <w:t xml:space="preserve"> DEDJTR should have regard to the decision making principles set out in the Act, including integration of transport and land use, and social and economic inclusion. This EES presents an integrated assessment of these matters.</w:t>
            </w:r>
          </w:p>
          <w:p w14:paraId="349B6FAA" w14:textId="00F33A08" w:rsidR="009F548D" w:rsidRPr="0083677E" w:rsidRDefault="002274F3">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The social impact assessment prepared for the EES gives consideration to the principles of triple bottom line assessment in the </w:t>
            </w:r>
            <w:r w:rsidRPr="0083677E">
              <w:rPr>
                <w:rStyle w:val="CharacterStyle-Italic"/>
              </w:rPr>
              <w:t>Transport Integration Act 2010.</w:t>
            </w:r>
          </w:p>
        </w:tc>
        <w:tc>
          <w:tcPr>
            <w:tcW w:w="3654" w:type="dxa"/>
          </w:tcPr>
          <w:p w14:paraId="4A17AA6B" w14:textId="539E879F" w:rsidR="002274F3" w:rsidRPr="0083677E" w:rsidRDefault="002274F3" w:rsidP="00AC17FA">
            <w:pPr>
              <w:pStyle w:val="TableText"/>
              <w:cnfStyle w:val="000000000000" w:firstRow="0" w:lastRow="0" w:firstColumn="0" w:lastColumn="0" w:oddVBand="0" w:evenVBand="0" w:oddHBand="0" w:evenHBand="0" w:firstRowFirstColumn="0" w:firstRowLastColumn="0" w:lastRowFirstColumn="0" w:lastRowLastColumn="0"/>
            </w:pPr>
            <w:r w:rsidRPr="0083677E">
              <w:t xml:space="preserve">Melbourne Metro would need to contribute to achieving the relevant structure and precinct plans of the Cities of Melbourne, Port Phillip and Stonnington, such as the </w:t>
            </w:r>
            <w:r w:rsidRPr="0083677E">
              <w:rPr>
                <w:rStyle w:val="CharacterStyle-Italic"/>
              </w:rPr>
              <w:t>Arden</w:t>
            </w:r>
            <w:r w:rsidR="00AC17FA">
              <w:rPr>
                <w:rStyle w:val="CharacterStyle-Italic"/>
              </w:rPr>
              <w:t>-</w:t>
            </w:r>
            <w:r w:rsidRPr="0083677E">
              <w:rPr>
                <w:rStyle w:val="CharacterStyle-Italic"/>
              </w:rPr>
              <w:t>Macaulay Structure Plan 2012</w:t>
            </w:r>
            <w:r w:rsidR="0080353C">
              <w:rPr>
                <w:rStyle w:val="CharacterStyle-Italic"/>
              </w:rPr>
              <w:t xml:space="preserve"> </w:t>
            </w:r>
            <w:r w:rsidR="0080353C" w:rsidRPr="0080353C">
              <w:rPr>
                <w:rStyle w:val="CharacterStyle-Italic"/>
                <w:i w:val="0"/>
              </w:rPr>
              <w:t>in the planning amendment process</w:t>
            </w:r>
            <w:r w:rsidRPr="00C10BE1">
              <w:rPr>
                <w:rStyle w:val="CharacterStyle-Italic"/>
                <w:i w:val="0"/>
              </w:rPr>
              <w:t>.</w:t>
            </w:r>
          </w:p>
        </w:tc>
        <w:tc>
          <w:tcPr>
            <w:tcW w:w="1635" w:type="dxa"/>
            <w:vMerge w:val="restart"/>
          </w:tcPr>
          <w:p w14:paraId="08F1A6A9" w14:textId="77777777" w:rsidR="002274F3" w:rsidRPr="0083677E" w:rsidRDefault="002274F3"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8 </w:t>
            </w:r>
            <w:r w:rsidRPr="0083677E">
              <w:rPr>
                <w:rStyle w:val="CharacterStyle-Italic"/>
              </w:rPr>
              <w:t>Transport</w:t>
            </w:r>
          </w:p>
          <w:p w14:paraId="3993686D" w14:textId="77777777" w:rsidR="002274F3" w:rsidRPr="0083677E" w:rsidRDefault="002274F3" w:rsidP="00614370">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Chapter 9 </w:t>
            </w:r>
            <w:r w:rsidRPr="0083677E">
              <w:rPr>
                <w:rStyle w:val="CharacterStyle-Italic"/>
              </w:rPr>
              <w:t>Land Use and Planning</w:t>
            </w:r>
          </w:p>
          <w:p w14:paraId="6719FEED" w14:textId="77777777" w:rsidR="002274F3" w:rsidRPr="0083677E" w:rsidRDefault="002274F3" w:rsidP="00473FCF">
            <w:pPr>
              <w:pStyle w:val="TableText"/>
              <w:cnfStyle w:val="000000000000" w:firstRow="0" w:lastRow="0" w:firstColumn="0" w:lastColumn="0" w:oddVBand="0" w:evenVBand="0" w:oddHBand="0" w:evenHBand="0" w:firstRowFirstColumn="0" w:firstRowLastColumn="0" w:lastRowFirstColumn="0" w:lastRowLastColumn="0"/>
            </w:pPr>
            <w:r w:rsidRPr="0083677E">
              <w:rPr>
                <w:rStyle w:val="CharacterStyle-Italic"/>
                <w:i w:val="0"/>
              </w:rPr>
              <w:t>Chapter 10</w:t>
            </w:r>
            <w:r w:rsidRPr="0083677E">
              <w:rPr>
                <w:rStyle w:val="CharacterStyle-Italic"/>
              </w:rPr>
              <w:t xml:space="preserve"> Social and Community</w:t>
            </w:r>
          </w:p>
          <w:p w14:paraId="6B55C86D" w14:textId="77777777" w:rsidR="002274F3" w:rsidRPr="0083677E" w:rsidRDefault="002274F3"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11 </w:t>
            </w:r>
            <w:r w:rsidRPr="0083677E">
              <w:rPr>
                <w:rStyle w:val="CharacterStyle-Italic"/>
              </w:rPr>
              <w:t>Business</w:t>
            </w:r>
          </w:p>
          <w:p w14:paraId="54F6E0E0" w14:textId="77777777" w:rsidR="002274F3" w:rsidRPr="0083677E" w:rsidRDefault="002274F3"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D </w:t>
            </w:r>
            <w:r w:rsidRPr="0083677E">
              <w:rPr>
                <w:rStyle w:val="CharacterStyle-Italic"/>
              </w:rPr>
              <w:t>Transport</w:t>
            </w:r>
          </w:p>
          <w:p w14:paraId="1E1DE524" w14:textId="77777777" w:rsidR="002274F3" w:rsidRPr="0083677E" w:rsidRDefault="002274F3" w:rsidP="00614370">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Technical Appendix E </w:t>
            </w:r>
            <w:r w:rsidRPr="0083677E">
              <w:rPr>
                <w:rStyle w:val="CharacterStyle-Italic"/>
              </w:rPr>
              <w:t>Land Use and Planning</w:t>
            </w:r>
          </w:p>
          <w:p w14:paraId="7BEC61E7" w14:textId="77777777" w:rsidR="002274F3" w:rsidRPr="0083677E" w:rsidRDefault="002274F3" w:rsidP="00473FCF">
            <w:pPr>
              <w:pStyle w:val="TableText"/>
              <w:cnfStyle w:val="000000000000" w:firstRow="0" w:lastRow="0" w:firstColumn="0" w:lastColumn="0" w:oddVBand="0" w:evenVBand="0" w:oddHBand="0" w:evenHBand="0" w:firstRowFirstColumn="0" w:firstRowLastColumn="0" w:lastRowFirstColumn="0" w:lastRowLastColumn="0"/>
            </w:pPr>
            <w:r w:rsidRPr="0083677E">
              <w:rPr>
                <w:rStyle w:val="CharacterStyle-Italic"/>
                <w:i w:val="0"/>
              </w:rPr>
              <w:t>Technical Appendix F</w:t>
            </w:r>
            <w:r w:rsidRPr="0083677E">
              <w:rPr>
                <w:rStyle w:val="CharacterStyle-Italic"/>
              </w:rPr>
              <w:t xml:space="preserve"> Social and Community</w:t>
            </w:r>
          </w:p>
          <w:p w14:paraId="3674D43A" w14:textId="77777777" w:rsidR="002274F3" w:rsidRPr="0083677E" w:rsidRDefault="002274F3" w:rsidP="004B1D4C">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G </w:t>
            </w:r>
            <w:r w:rsidRPr="0083677E">
              <w:rPr>
                <w:rStyle w:val="CharacterStyle-Italic"/>
              </w:rPr>
              <w:t>Business</w:t>
            </w:r>
          </w:p>
        </w:tc>
      </w:tr>
      <w:tr w:rsidR="00584A30" w:rsidRPr="0083677E" w14:paraId="6F5F6776"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Borders>
              <w:bottom w:val="single" w:sz="4" w:space="0" w:color="A59C94" w:themeColor="accent3"/>
            </w:tcBorders>
          </w:tcPr>
          <w:p w14:paraId="53304D24" w14:textId="77777777" w:rsidR="00584A30" w:rsidRPr="0083677E" w:rsidRDefault="00584A30" w:rsidP="00024FF8">
            <w:pPr>
              <w:pStyle w:val="TableText"/>
            </w:pPr>
          </w:p>
        </w:tc>
        <w:tc>
          <w:tcPr>
            <w:tcW w:w="6660" w:type="dxa"/>
            <w:tcBorders>
              <w:bottom w:val="single" w:sz="4" w:space="0" w:color="A59C94" w:themeColor="accent3"/>
            </w:tcBorders>
          </w:tcPr>
          <w:p w14:paraId="7F0C5270" w14:textId="77777777" w:rsidR="00584A30" w:rsidRPr="0083677E" w:rsidRDefault="00584A30" w:rsidP="002274F3">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w:t>
            </w:r>
            <w:r w:rsidRPr="0083677E">
              <w:rPr>
                <w:rStyle w:val="CharacterStyle-Italic"/>
              </w:rPr>
              <w:t xml:space="preserve">Planning and Environment Act 1987 </w:t>
            </w:r>
            <w:r w:rsidRPr="0083677E">
              <w:t xml:space="preserve">regulates the use and development of land in Victoria. The Act authorises the preparation, approval and adoption of planning schemes and planning scheme amendments by planning authorities. </w:t>
            </w:r>
          </w:p>
          <w:p w14:paraId="55F48404" w14:textId="77777777" w:rsidR="0080353C" w:rsidRPr="00955312" w:rsidRDefault="0080353C" w:rsidP="0080353C">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t>P</w:t>
            </w:r>
            <w:r w:rsidRPr="00955312">
              <w:t>lanning scheme amendments to the Melbourne, Port Phillip, Stonnington and Maribyrnong Planning Schemes</w:t>
            </w:r>
            <w:r>
              <w:t xml:space="preserve"> would be required under the </w:t>
            </w:r>
            <w:r>
              <w:rPr>
                <w:i/>
              </w:rPr>
              <w:t>Planning and Environment Act 1987</w:t>
            </w:r>
            <w:r>
              <w:t xml:space="preserve"> for Melbourne Metro. </w:t>
            </w:r>
            <w:r w:rsidRPr="00955312">
              <w:t xml:space="preserve"> </w:t>
            </w:r>
          </w:p>
          <w:p w14:paraId="6917532D" w14:textId="77777777" w:rsidR="00584A30" w:rsidRPr="0083677E" w:rsidRDefault="00584A30" w:rsidP="002274F3">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The social impact assessment prepared for the EES gives consideration to the objectives of the </w:t>
            </w:r>
            <w:r w:rsidRPr="0083677E">
              <w:rPr>
                <w:rStyle w:val="CharacterStyle-Italic"/>
              </w:rPr>
              <w:t xml:space="preserve">Planning and Environment Act 1987, </w:t>
            </w:r>
            <w:r w:rsidRPr="0083677E">
              <w:rPr>
                <w:rStyle w:val="CharacterStyle-Italic"/>
                <w:i w:val="0"/>
              </w:rPr>
              <w:t>which</w:t>
            </w:r>
            <w:r w:rsidRPr="0083677E">
              <w:t xml:space="preserve"> include giving ‘explicit consideration’ to social effects when making decisions about the use and development of land.</w:t>
            </w:r>
          </w:p>
        </w:tc>
        <w:tc>
          <w:tcPr>
            <w:tcW w:w="3654" w:type="dxa"/>
            <w:vMerge w:val="restart"/>
            <w:tcBorders>
              <w:bottom w:val="single" w:sz="4" w:space="0" w:color="A59C94" w:themeColor="accent3"/>
            </w:tcBorders>
          </w:tcPr>
          <w:p w14:paraId="0CD0E34C" w14:textId="77777777" w:rsidR="00584A30" w:rsidRPr="0083677E" w:rsidRDefault="00584A30" w:rsidP="00BB62AA">
            <w:pPr>
              <w:pStyle w:val="TableText"/>
              <w:cnfStyle w:val="000000000000" w:firstRow="0" w:lastRow="0" w:firstColumn="0" w:lastColumn="0" w:oddVBand="0" w:evenVBand="0" w:oddHBand="0" w:evenHBand="0" w:firstRowFirstColumn="0" w:firstRowLastColumn="0" w:lastRowFirstColumn="0" w:lastRowLastColumn="0"/>
              <w:rPr>
                <w:i/>
              </w:rPr>
            </w:pPr>
            <w:r w:rsidRPr="0083677E">
              <w:t xml:space="preserve">The Melbourne, Port Phillip, Stonnington and Maribyrnong Planning Schemes (in particular the State and Local Planning Policy Frameworks) are relevant for Melbourne Metro. </w:t>
            </w:r>
          </w:p>
          <w:p w14:paraId="3EDED272" w14:textId="1F16DDC3" w:rsidR="00584A30" w:rsidRPr="0083677E" w:rsidRDefault="00584A30" w:rsidP="0080353C">
            <w:pPr>
              <w:pStyle w:val="TableText"/>
              <w:cnfStyle w:val="000000000000" w:firstRow="0" w:lastRow="0" w:firstColumn="0" w:lastColumn="0" w:oddVBand="0" w:evenVBand="0" w:oddHBand="0" w:evenHBand="0" w:firstRowFirstColumn="0" w:firstRowLastColumn="0" w:lastRowFirstColumn="0" w:lastRowLastColumn="0"/>
            </w:pPr>
            <w:r w:rsidRPr="0083677E">
              <w:t>The four planning schemes contain objectives, policies and particular provisions for the use, development and protection of land. Consideration w</w:t>
            </w:r>
            <w:r w:rsidR="0080353C">
              <w:t xml:space="preserve">ill </w:t>
            </w:r>
            <w:proofErr w:type="gramStart"/>
            <w:r w:rsidR="0080353C">
              <w:t xml:space="preserve">be </w:t>
            </w:r>
            <w:r w:rsidRPr="0083677E">
              <w:t xml:space="preserve"> given</w:t>
            </w:r>
            <w:proofErr w:type="gramEnd"/>
            <w:r w:rsidRPr="0083677E">
              <w:t xml:space="preserve"> to the relevant planning schemes (including any reference documents and potential amendments to these schemes) when seeking planning approval for Melbourne Metro.</w:t>
            </w:r>
          </w:p>
        </w:tc>
        <w:tc>
          <w:tcPr>
            <w:tcW w:w="1635" w:type="dxa"/>
            <w:vMerge/>
            <w:tcBorders>
              <w:bottom w:val="single" w:sz="4" w:space="0" w:color="A59C94" w:themeColor="accent3"/>
            </w:tcBorders>
          </w:tcPr>
          <w:p w14:paraId="053C24E0" w14:textId="77777777" w:rsidR="00584A30" w:rsidRPr="0083677E" w:rsidRDefault="00584A30" w:rsidP="00614370">
            <w:pPr>
              <w:pStyle w:val="TableText"/>
              <w:cnfStyle w:val="000000000000" w:firstRow="0" w:lastRow="0" w:firstColumn="0" w:lastColumn="0" w:oddVBand="0" w:evenVBand="0" w:oddHBand="0" w:evenHBand="0" w:firstRowFirstColumn="0" w:firstRowLastColumn="0" w:lastRowFirstColumn="0" w:lastRowLastColumn="0"/>
            </w:pPr>
          </w:p>
        </w:tc>
      </w:tr>
      <w:tr w:rsidR="00584A30" w:rsidRPr="0083677E" w14:paraId="5293577A"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4D696C1E" w14:textId="77777777" w:rsidR="00584A30" w:rsidRPr="0083677E" w:rsidRDefault="00584A30" w:rsidP="00024FF8">
            <w:pPr>
              <w:pStyle w:val="TableText"/>
            </w:pPr>
          </w:p>
        </w:tc>
        <w:tc>
          <w:tcPr>
            <w:tcW w:w="6660" w:type="dxa"/>
          </w:tcPr>
          <w:p w14:paraId="60659F27" w14:textId="4B4650D0" w:rsidR="00584A30" w:rsidRPr="0083677E" w:rsidRDefault="00584A30" w:rsidP="0080353C">
            <w:pPr>
              <w:pStyle w:val="TableText"/>
              <w:cnfStyle w:val="000000000000" w:firstRow="0" w:lastRow="0" w:firstColumn="0" w:lastColumn="0" w:oddVBand="0" w:evenVBand="0" w:oddHBand="0" w:evenHBand="0" w:firstRowFirstColumn="0" w:firstRowLastColumn="0" w:lastRowFirstColumn="0" w:lastRowLastColumn="0"/>
            </w:pPr>
            <w:r w:rsidRPr="0083677E">
              <w:t xml:space="preserve">Under the </w:t>
            </w:r>
            <w:r w:rsidRPr="0083677E">
              <w:rPr>
                <w:rStyle w:val="CharacterStyle-Italic"/>
              </w:rPr>
              <w:t>Major Transport Projects Facilitation Act 2009</w:t>
            </w:r>
            <w:r w:rsidRPr="0083677E">
              <w:t>, once the Project Area for Melbourne Metro is designated, the project</w:t>
            </w:r>
            <w:r w:rsidR="0080353C">
              <w:t xml:space="preserve"> authority</w:t>
            </w:r>
            <w:r w:rsidRPr="0083677E">
              <w:t xml:space="preserve"> has the power to compulsorily acquire land within this area. The Act requires the acquisition of property to be conducted in accordance with the provisions of the </w:t>
            </w:r>
            <w:r w:rsidRPr="0083677E">
              <w:rPr>
                <w:rStyle w:val="CharacterStyle-Italic"/>
              </w:rPr>
              <w:t>Land Acquisition and Compensation Act 1986</w:t>
            </w:r>
            <w:r w:rsidRPr="0083677E">
              <w:t>.</w:t>
            </w:r>
          </w:p>
        </w:tc>
        <w:tc>
          <w:tcPr>
            <w:tcW w:w="3654" w:type="dxa"/>
            <w:vMerge/>
          </w:tcPr>
          <w:p w14:paraId="3597765B" w14:textId="77777777" w:rsidR="00584A30" w:rsidRPr="0083677E" w:rsidRDefault="00584A30" w:rsidP="00024FF8">
            <w:pPr>
              <w:pStyle w:val="TableText"/>
              <w:cnfStyle w:val="000000000000" w:firstRow="0" w:lastRow="0" w:firstColumn="0" w:lastColumn="0" w:oddVBand="0" w:evenVBand="0" w:oddHBand="0" w:evenHBand="0" w:firstRowFirstColumn="0" w:firstRowLastColumn="0" w:lastRowFirstColumn="0" w:lastRowLastColumn="0"/>
              <w:rPr>
                <w:rStyle w:val="CommentReference"/>
              </w:rPr>
            </w:pPr>
          </w:p>
        </w:tc>
        <w:tc>
          <w:tcPr>
            <w:tcW w:w="1635" w:type="dxa"/>
            <w:vMerge/>
          </w:tcPr>
          <w:p w14:paraId="0EA45D13" w14:textId="77777777" w:rsidR="00584A30" w:rsidRPr="0083677E" w:rsidRDefault="00584A30" w:rsidP="00024FF8">
            <w:pPr>
              <w:pStyle w:val="TableText"/>
              <w:cnfStyle w:val="000000000000" w:firstRow="0" w:lastRow="0" w:firstColumn="0" w:lastColumn="0" w:oddVBand="0" w:evenVBand="0" w:oddHBand="0" w:evenHBand="0" w:firstRowFirstColumn="0" w:firstRowLastColumn="0" w:lastRowFirstColumn="0" w:lastRowLastColumn="0"/>
            </w:pPr>
          </w:p>
        </w:tc>
      </w:tr>
      <w:tr w:rsidR="00584A30" w:rsidRPr="0083677E" w14:paraId="41BA0973"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798FB849" w14:textId="77777777" w:rsidR="00584A30" w:rsidRPr="0083677E" w:rsidRDefault="00584A30" w:rsidP="00024FF8">
            <w:pPr>
              <w:pStyle w:val="TableText"/>
              <w:rPr>
                <w:b/>
              </w:rPr>
            </w:pPr>
            <w:r w:rsidRPr="0083677E">
              <w:rPr>
                <w:b/>
              </w:rPr>
              <w:lastRenderedPageBreak/>
              <w:t xml:space="preserve">Amenity </w:t>
            </w:r>
          </w:p>
          <w:p w14:paraId="199DC7FA" w14:textId="77777777" w:rsidR="00584A30" w:rsidRPr="0083677E" w:rsidRDefault="00584A30" w:rsidP="00024FF8">
            <w:pPr>
              <w:pStyle w:val="TableText"/>
            </w:pPr>
            <w:r w:rsidRPr="0083677E">
              <w:t>– To minimise adverse air quality, noise or vibration effects on the amenity of nearby residents and local communities, as far as practicable, especially during the construction phase</w:t>
            </w:r>
          </w:p>
        </w:tc>
        <w:tc>
          <w:tcPr>
            <w:tcW w:w="6660" w:type="dxa"/>
            <w:vMerge w:val="restart"/>
          </w:tcPr>
          <w:p w14:paraId="550D743F" w14:textId="77777777" w:rsidR="00584A30" w:rsidRPr="0083677E" w:rsidRDefault="00584A30" w:rsidP="000A2CC7">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The </w:t>
            </w:r>
            <w:r w:rsidRPr="0083677E">
              <w:rPr>
                <w:rStyle w:val="CharacterStyle-Italic"/>
              </w:rPr>
              <w:t>Environment Protection Act 1970</w:t>
            </w:r>
            <w:r w:rsidRPr="0083677E">
              <w:t xml:space="preserve"> provides a legal framework to protect the environment in Victoria, (including in relation to groundwater, surface water, land and air) and provides for the preparation of State Environment Protection Policies (SEPPs). </w:t>
            </w:r>
          </w:p>
        </w:tc>
        <w:tc>
          <w:tcPr>
            <w:tcW w:w="3654" w:type="dxa"/>
          </w:tcPr>
          <w:p w14:paraId="00317819" w14:textId="594CE368" w:rsidR="00584A30" w:rsidRPr="0083677E" w:rsidRDefault="00584A30" w:rsidP="00955312">
            <w:pPr>
              <w:pStyle w:val="TableText"/>
              <w:cnfStyle w:val="000000000000" w:firstRow="0" w:lastRow="0" w:firstColumn="0" w:lastColumn="0" w:oddVBand="0" w:evenVBand="0" w:oddHBand="0" w:evenHBand="0" w:firstRowFirstColumn="0" w:firstRowLastColumn="0" w:lastRowFirstColumn="0" w:lastRowLastColumn="0"/>
            </w:pPr>
            <w:r w:rsidRPr="0083677E">
              <w:t xml:space="preserve">Melbourne Metro would be required to comply with specific criteria derived from relevant policies and guidelines dealing with amenity </w:t>
            </w:r>
            <w:r w:rsidR="0080353C">
              <w:t xml:space="preserve">and environmental </w:t>
            </w:r>
            <w:r w:rsidRPr="0083677E">
              <w:t>impacts.</w:t>
            </w:r>
          </w:p>
          <w:p w14:paraId="04D8F715" w14:textId="77777777" w:rsidR="00584A30" w:rsidRPr="0083677E" w:rsidRDefault="00584A30" w:rsidP="000370FB">
            <w:pPr>
              <w:pStyle w:val="TableText"/>
              <w:cnfStyle w:val="000000000000" w:firstRow="0" w:lastRow="0" w:firstColumn="0" w:lastColumn="0" w:oddVBand="0" w:evenVBand="0" w:oddHBand="0" w:evenHBand="0" w:firstRowFirstColumn="0" w:firstRowLastColumn="0" w:lastRowFirstColumn="0" w:lastRowLastColumn="0"/>
            </w:pPr>
            <w:r w:rsidRPr="0083677E">
              <w:t>Noise control guidelines relevant to Melbourne Metro include:</w:t>
            </w:r>
          </w:p>
          <w:p w14:paraId="128B8340" w14:textId="77777777" w:rsidR="00584A30" w:rsidRPr="0083677E" w:rsidRDefault="00584A30" w:rsidP="000370FB">
            <w:pPr>
              <w:pStyle w:val="TableBullet1"/>
              <w:cnfStyle w:val="000000000000" w:firstRow="0" w:lastRow="0" w:firstColumn="0" w:lastColumn="0" w:oddVBand="0" w:evenVBand="0" w:oddHBand="0" w:evenHBand="0" w:firstRowFirstColumn="0" w:firstRowLastColumn="0" w:lastRowFirstColumn="0" w:lastRowLastColumn="0"/>
            </w:pPr>
            <w:r w:rsidRPr="0083677E">
              <w:t>SEPP (Control of Noise from Commerce, Industry and Trade) No. N-1, which provides maximum acceptable noise levels for the Melbourne metropolitan area</w:t>
            </w:r>
          </w:p>
          <w:p w14:paraId="0D36ECF4" w14:textId="77777777" w:rsidR="00584A30" w:rsidRPr="0083677E" w:rsidRDefault="00584A30" w:rsidP="00955312">
            <w:pPr>
              <w:pStyle w:val="TableBullet1"/>
              <w:cnfStyle w:val="000000000000" w:firstRow="0" w:lastRow="0" w:firstColumn="0" w:lastColumn="0" w:oddVBand="0" w:evenVBand="0" w:oddHBand="0" w:evenHBand="0" w:firstRowFirstColumn="0" w:firstRowLastColumn="0" w:lastRowFirstColumn="0" w:lastRowLastColumn="0"/>
            </w:pPr>
            <w:r w:rsidRPr="0083677E">
              <w:t>EPA Noise Control Guidelines (Publication 1254), which provides a framework for the management of construction noise</w:t>
            </w:r>
          </w:p>
          <w:p w14:paraId="0F2D10DE" w14:textId="77777777" w:rsidR="00584A30" w:rsidRPr="0083677E" w:rsidRDefault="00584A30" w:rsidP="00955312">
            <w:pPr>
              <w:pStyle w:val="TableBullet1"/>
              <w:cnfStyle w:val="000000000000" w:firstRow="0" w:lastRow="0" w:firstColumn="0" w:lastColumn="0" w:oddVBand="0" w:evenVBand="0" w:oddHBand="0" w:evenHBand="0" w:firstRowFirstColumn="0" w:firstRowLastColumn="0" w:lastRowFirstColumn="0" w:lastRowLastColumn="0"/>
            </w:pPr>
            <w:r w:rsidRPr="0083677E">
              <w:t>EPA Environmental Guidelines for Major Construction Sites (Publication 480)</w:t>
            </w:r>
          </w:p>
          <w:p w14:paraId="4EECC3AA" w14:textId="77777777" w:rsidR="00584A30" w:rsidRPr="0083677E" w:rsidRDefault="00584A30" w:rsidP="00D84EED">
            <w:pPr>
              <w:pStyle w:val="TableBullet1"/>
              <w:cnfStyle w:val="000000000000" w:firstRow="0" w:lastRow="0" w:firstColumn="0" w:lastColumn="0" w:oddVBand="0" w:evenVBand="0" w:oddHBand="0" w:evenHBand="0" w:firstRowFirstColumn="0" w:firstRowLastColumn="0" w:lastRowFirstColumn="0" w:lastRowLastColumn="0"/>
            </w:pPr>
            <w:r w:rsidRPr="0083677E">
              <w:t>Victorian Passenger Rail Infrastructure Noise Policy (Victorian Government, 2013).</w:t>
            </w:r>
          </w:p>
        </w:tc>
        <w:tc>
          <w:tcPr>
            <w:tcW w:w="1635" w:type="dxa"/>
          </w:tcPr>
          <w:p w14:paraId="6C1B3CFD" w14:textId="77777777" w:rsidR="00584A30" w:rsidRPr="0083677E" w:rsidRDefault="00584A30" w:rsidP="00223E5C">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10 </w:t>
            </w:r>
            <w:r w:rsidRPr="0083677E">
              <w:rPr>
                <w:rStyle w:val="CharacterStyle-Italic"/>
              </w:rPr>
              <w:t>Social and Community</w:t>
            </w:r>
          </w:p>
          <w:p w14:paraId="6BFFB18A" w14:textId="77777777" w:rsidR="00584A30" w:rsidRPr="0083677E" w:rsidRDefault="00584A30" w:rsidP="00DD30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13 </w:t>
            </w:r>
            <w:r w:rsidRPr="0083677E">
              <w:rPr>
                <w:rStyle w:val="CharacterStyle-Italic"/>
              </w:rPr>
              <w:t>Noise and Vibration</w:t>
            </w:r>
          </w:p>
          <w:p w14:paraId="4B4AF03F" w14:textId="77777777" w:rsidR="00584A30" w:rsidRPr="0083677E" w:rsidRDefault="00584A30" w:rsidP="00223E5C">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F </w:t>
            </w:r>
            <w:r w:rsidRPr="0083677E">
              <w:rPr>
                <w:rStyle w:val="CharacterStyle-Italic"/>
              </w:rPr>
              <w:t>Social and Community</w:t>
            </w:r>
            <w:r w:rsidRPr="0083677E">
              <w:t xml:space="preserve"> </w:t>
            </w:r>
          </w:p>
          <w:p w14:paraId="14EF7722" w14:textId="77777777" w:rsidR="00584A30" w:rsidRPr="0083677E" w:rsidRDefault="00584A30" w:rsidP="00223E5C">
            <w:pPr>
              <w:pStyle w:val="TableText"/>
              <w:cnfStyle w:val="000000000000" w:firstRow="0" w:lastRow="0" w:firstColumn="0" w:lastColumn="0" w:oddVBand="0" w:evenVBand="0" w:oddHBand="0" w:evenHBand="0" w:firstRowFirstColumn="0" w:firstRowLastColumn="0" w:lastRowFirstColumn="0" w:lastRowLastColumn="0"/>
              <w:rPr>
                <w:rStyle w:val="CharacterStyle-Highlight"/>
                <w:shd w:val="clear" w:color="auto" w:fill="auto"/>
              </w:rPr>
            </w:pPr>
            <w:r w:rsidRPr="0083677E">
              <w:t xml:space="preserve">Technical Appendix I </w:t>
            </w:r>
            <w:r w:rsidRPr="0083677E">
              <w:rPr>
                <w:rStyle w:val="CharacterStyle-Italic"/>
              </w:rPr>
              <w:t>Noise and Vibration</w:t>
            </w:r>
          </w:p>
        </w:tc>
      </w:tr>
      <w:tr w:rsidR="00584A30" w:rsidRPr="0083677E" w14:paraId="0D4EAA68"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1909602A" w14:textId="77777777" w:rsidR="00584A30" w:rsidRPr="0083677E" w:rsidRDefault="00584A30" w:rsidP="00024FF8">
            <w:pPr>
              <w:pStyle w:val="TableText"/>
            </w:pPr>
          </w:p>
        </w:tc>
        <w:tc>
          <w:tcPr>
            <w:tcW w:w="6660" w:type="dxa"/>
            <w:vMerge/>
          </w:tcPr>
          <w:p w14:paraId="17BAE781" w14:textId="77777777" w:rsidR="00584A30" w:rsidRPr="0083677E" w:rsidRDefault="00584A30" w:rsidP="00DE310E">
            <w:pPr>
              <w:pStyle w:val="TableText"/>
              <w:cnfStyle w:val="000000000000" w:firstRow="0" w:lastRow="0" w:firstColumn="0" w:lastColumn="0" w:oddVBand="0" w:evenVBand="0" w:oddHBand="0" w:evenHBand="0" w:firstRowFirstColumn="0" w:firstRowLastColumn="0" w:lastRowFirstColumn="0" w:lastRowLastColumn="0"/>
              <w:rPr>
                <w:rStyle w:val="CharacterStyle-Italic"/>
              </w:rPr>
            </w:pPr>
          </w:p>
        </w:tc>
        <w:tc>
          <w:tcPr>
            <w:tcW w:w="3654" w:type="dxa"/>
          </w:tcPr>
          <w:p w14:paraId="784FF4D6" w14:textId="77777777" w:rsidR="00584A30" w:rsidRPr="0083677E" w:rsidRDefault="00584A30" w:rsidP="00223E5C">
            <w:pPr>
              <w:pStyle w:val="TableText"/>
              <w:cnfStyle w:val="000000000000" w:firstRow="0" w:lastRow="0" w:firstColumn="0" w:lastColumn="0" w:oddVBand="0" w:evenVBand="0" w:oddHBand="0" w:evenHBand="0" w:firstRowFirstColumn="0" w:firstRowLastColumn="0" w:lastRowFirstColumn="0" w:lastRowLastColumn="0"/>
              <w:rPr>
                <w:szCs w:val="18"/>
              </w:rPr>
            </w:pPr>
            <w:r w:rsidRPr="0083677E">
              <w:rPr>
                <w:szCs w:val="18"/>
              </w:rPr>
              <w:t>Air quality guidelines relevant to Melbourne Metro include:</w:t>
            </w:r>
          </w:p>
          <w:p w14:paraId="2E709FB1" w14:textId="77777777" w:rsidR="00584A30" w:rsidRPr="0083677E" w:rsidRDefault="00584A30" w:rsidP="00D34CCC">
            <w:pPr>
              <w:pStyle w:val="TableBullet1"/>
              <w:cnfStyle w:val="000000000000" w:firstRow="0" w:lastRow="0" w:firstColumn="0" w:lastColumn="0" w:oddVBand="0" w:evenVBand="0" w:oddHBand="0" w:evenHBand="0" w:firstRowFirstColumn="0" w:firstRowLastColumn="0" w:lastRowFirstColumn="0" w:lastRowLastColumn="0"/>
              <w:rPr>
                <w:szCs w:val="18"/>
              </w:rPr>
            </w:pPr>
            <w:r w:rsidRPr="0083677E">
              <w:rPr>
                <w:szCs w:val="18"/>
              </w:rPr>
              <w:t>National Environment Protection (Ambient Air Quality) Measure (NEPM) (National Environmental Protection Council, 2003)</w:t>
            </w:r>
          </w:p>
          <w:p w14:paraId="31AB1D26" w14:textId="06DEF591" w:rsidR="00584A30" w:rsidRPr="0083677E" w:rsidRDefault="00584A30" w:rsidP="00594B31">
            <w:pPr>
              <w:pStyle w:val="TableText"/>
              <w:numPr>
                <w:ilvl w:val="1"/>
                <w:numId w:val="32"/>
              </w:numPr>
              <w:cnfStyle w:val="000000000000" w:firstRow="0" w:lastRow="0" w:firstColumn="0" w:lastColumn="0" w:oddVBand="0" w:evenVBand="0" w:oddHBand="0" w:evenHBand="0" w:firstRowFirstColumn="0" w:firstRowLastColumn="0" w:lastRowFirstColumn="0" w:lastRowLastColumn="0"/>
              <w:rPr>
                <w:szCs w:val="18"/>
              </w:rPr>
            </w:pPr>
            <w:r w:rsidRPr="0083677E">
              <w:rPr>
                <w:szCs w:val="18"/>
              </w:rPr>
              <w:t>Ground level impacts of air emissions (during construction and operation) would need to comply with standards in the NEPM for six primary air pollutants: carbon monoxide, nitrogen dioxide, ozone, sulphur dioxide, lead and particles (as PM10)</w:t>
            </w:r>
          </w:p>
          <w:p w14:paraId="0C89F819" w14:textId="77777777" w:rsidR="00584A30" w:rsidRPr="0083677E" w:rsidRDefault="00584A30" w:rsidP="00D34CCC">
            <w:pPr>
              <w:pStyle w:val="TableBullet1"/>
              <w:cnfStyle w:val="000000000000" w:firstRow="0" w:lastRow="0" w:firstColumn="0" w:lastColumn="0" w:oddVBand="0" w:evenVBand="0" w:oddHBand="0" w:evenHBand="0" w:firstRowFirstColumn="0" w:firstRowLastColumn="0" w:lastRowFirstColumn="0" w:lastRowLastColumn="0"/>
            </w:pPr>
            <w:r w:rsidRPr="0083677E">
              <w:rPr>
                <w:szCs w:val="18"/>
              </w:rPr>
              <w:t>SEPP (Air Quality Management) No.</w:t>
            </w:r>
            <w:r w:rsidRPr="0083677E">
              <w:t xml:space="preserve"> S240 2001, incorporating the Protocol for Environmental Management (PEM): Mining and Extractive Industries</w:t>
            </w:r>
          </w:p>
          <w:p w14:paraId="23FFA0E3" w14:textId="77777777" w:rsidR="00584A30" w:rsidRPr="0083677E" w:rsidRDefault="00584A30" w:rsidP="00594B31">
            <w:pPr>
              <w:pStyle w:val="TableText"/>
              <w:numPr>
                <w:ilvl w:val="1"/>
                <w:numId w:val="32"/>
              </w:numPr>
              <w:cnfStyle w:val="000000000000" w:firstRow="0" w:lastRow="0" w:firstColumn="0" w:lastColumn="0" w:oddVBand="0" w:evenVBand="0" w:oddHBand="0" w:evenHBand="0" w:firstRowFirstColumn="0" w:firstRowLastColumn="0" w:lastRowFirstColumn="0" w:lastRowLastColumn="0"/>
            </w:pPr>
            <w:r w:rsidRPr="0083677E">
              <w:t>Ground level impacts of air emissions (during construction and operation) would need to comply with the standards and objectives provided in SEPP (AQM) No. S240 2001, incorporating the PEM: Mining and Extractive Industries.</w:t>
            </w:r>
          </w:p>
          <w:p w14:paraId="20CBFB16" w14:textId="77777777" w:rsidR="00584A30" w:rsidRPr="0083677E" w:rsidRDefault="00584A30" w:rsidP="00D34CCC">
            <w:pPr>
              <w:pStyle w:val="TableBullet1"/>
              <w:cnfStyle w:val="000000000000" w:firstRow="0" w:lastRow="0" w:firstColumn="0" w:lastColumn="0" w:oddVBand="0" w:evenVBand="0" w:oddHBand="0" w:evenHBand="0" w:firstRowFirstColumn="0" w:firstRowLastColumn="0" w:lastRowFirstColumn="0" w:lastRowLastColumn="0"/>
            </w:pPr>
            <w:r w:rsidRPr="0083677E">
              <w:t>EPA Environmental Guidelines for Major Construction Sites (Publication 480).</w:t>
            </w:r>
          </w:p>
        </w:tc>
        <w:tc>
          <w:tcPr>
            <w:tcW w:w="1635" w:type="dxa"/>
          </w:tcPr>
          <w:p w14:paraId="4C6C2D91" w14:textId="77777777" w:rsidR="00584A30" w:rsidRPr="0083677E" w:rsidRDefault="00584A30"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12 </w:t>
            </w:r>
            <w:r w:rsidRPr="0083677E">
              <w:rPr>
                <w:rStyle w:val="CharacterStyle-Italic"/>
              </w:rPr>
              <w:t>Air Quality</w:t>
            </w:r>
          </w:p>
          <w:p w14:paraId="6D1D04D1" w14:textId="77777777" w:rsidR="00584A30" w:rsidRPr="0083677E" w:rsidRDefault="00584A30"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H </w:t>
            </w:r>
            <w:r w:rsidRPr="0083677E">
              <w:rPr>
                <w:rStyle w:val="CharacterStyle-Italic"/>
              </w:rPr>
              <w:t>Air Quality</w:t>
            </w:r>
          </w:p>
        </w:tc>
      </w:tr>
      <w:tr w:rsidR="00584A30" w:rsidRPr="0083677E" w14:paraId="770BC18A"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1DEC2197" w14:textId="77777777" w:rsidR="00584A30" w:rsidRPr="0083677E" w:rsidRDefault="00584A30" w:rsidP="00024FF8">
            <w:pPr>
              <w:pStyle w:val="TableText"/>
            </w:pPr>
          </w:p>
        </w:tc>
        <w:tc>
          <w:tcPr>
            <w:tcW w:w="6660" w:type="dxa"/>
            <w:vMerge/>
          </w:tcPr>
          <w:p w14:paraId="06D14E1D" w14:textId="77777777" w:rsidR="00584A30" w:rsidRPr="0083677E" w:rsidRDefault="00584A30" w:rsidP="00DE310E">
            <w:pPr>
              <w:pStyle w:val="TableText"/>
              <w:cnfStyle w:val="000000000000" w:firstRow="0" w:lastRow="0" w:firstColumn="0" w:lastColumn="0" w:oddVBand="0" w:evenVBand="0" w:oddHBand="0" w:evenHBand="0" w:firstRowFirstColumn="0" w:firstRowLastColumn="0" w:lastRowFirstColumn="0" w:lastRowLastColumn="0"/>
              <w:rPr>
                <w:rStyle w:val="CharacterStyle-Italic"/>
              </w:rPr>
            </w:pPr>
          </w:p>
        </w:tc>
        <w:tc>
          <w:tcPr>
            <w:tcW w:w="3654" w:type="dxa"/>
          </w:tcPr>
          <w:p w14:paraId="26AE611D" w14:textId="77777777" w:rsidR="00584A30" w:rsidRPr="0083677E" w:rsidRDefault="00584A30" w:rsidP="00C15D6F">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primary vibration guideline relevant to Melbourne Metro is DIN 4150-3 </w:t>
            </w:r>
            <w:r w:rsidRPr="0083677E">
              <w:rPr>
                <w:i/>
              </w:rPr>
              <w:t xml:space="preserve">Structural Vibration Part 3: Effects of vibration on structures </w:t>
            </w:r>
            <w:r w:rsidRPr="0083677E">
              <w:t>(DIN 4150), which provides guideline targets for construction vibration with respect to damage to buildings.</w:t>
            </w:r>
          </w:p>
        </w:tc>
        <w:tc>
          <w:tcPr>
            <w:tcW w:w="1635" w:type="dxa"/>
          </w:tcPr>
          <w:p w14:paraId="0AD06051" w14:textId="77777777" w:rsidR="00584A30" w:rsidRPr="0083677E" w:rsidRDefault="00584A30" w:rsidP="00614370">
            <w:pPr>
              <w:pStyle w:val="TableText"/>
              <w:cnfStyle w:val="000000000000" w:firstRow="0" w:lastRow="0" w:firstColumn="0" w:lastColumn="0" w:oddVBand="0" w:evenVBand="0" w:oddHBand="0" w:evenHBand="0" w:firstRowFirstColumn="0" w:firstRowLastColumn="0" w:lastRowFirstColumn="0" w:lastRowLastColumn="0"/>
            </w:pPr>
          </w:p>
        </w:tc>
      </w:tr>
      <w:tr w:rsidR="00C15D6F" w:rsidRPr="0083677E" w14:paraId="21C8BD7A"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190CBB3A" w14:textId="77777777" w:rsidR="00C15D6F" w:rsidRPr="0083677E" w:rsidRDefault="00C15D6F" w:rsidP="00024FF8">
            <w:pPr>
              <w:pStyle w:val="TableText"/>
              <w:rPr>
                <w:b/>
              </w:rPr>
            </w:pPr>
            <w:r w:rsidRPr="0083677E">
              <w:rPr>
                <w:b/>
              </w:rPr>
              <w:lastRenderedPageBreak/>
              <w:t xml:space="preserve">Cultural heritage </w:t>
            </w:r>
          </w:p>
          <w:p w14:paraId="18776FB9" w14:textId="77777777" w:rsidR="00C15D6F" w:rsidRPr="0083677E" w:rsidRDefault="00C15D6F" w:rsidP="00024FF8">
            <w:pPr>
              <w:pStyle w:val="TableText"/>
            </w:pPr>
            <w:r w:rsidRPr="0083677E">
              <w:t>– To avoid or minimise adverse effects on Aboriginal and historical cultural heritage values</w:t>
            </w:r>
          </w:p>
        </w:tc>
        <w:tc>
          <w:tcPr>
            <w:tcW w:w="6660" w:type="dxa"/>
          </w:tcPr>
          <w:p w14:paraId="3905C2E8" w14:textId="77777777" w:rsidR="00C15D6F" w:rsidRPr="0083677E" w:rsidRDefault="00C15D6F" w:rsidP="00C15D6F">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w:t>
            </w:r>
            <w:r w:rsidRPr="0083677E">
              <w:rPr>
                <w:rStyle w:val="CharacterStyle-Italic"/>
              </w:rPr>
              <w:t>Heritage Act 1995</w:t>
            </w:r>
            <w:r w:rsidRPr="0083677E">
              <w:t xml:space="preserve"> regulates the protection and conservation of places and objects of heritage significance listed on the Victorian Heritage Register. It also provides for the protection or recording of all historical archaeological sites and relics, including those listed in the Victorian Heritage Inventory.</w:t>
            </w:r>
          </w:p>
          <w:p w14:paraId="2D1308B0" w14:textId="639726A2" w:rsidR="00BB62AA" w:rsidRPr="0083677E" w:rsidRDefault="00BB62AA" w:rsidP="00C15D6F">
            <w:pPr>
              <w:pStyle w:val="TableText"/>
              <w:cnfStyle w:val="000000000000" w:firstRow="0" w:lastRow="0" w:firstColumn="0" w:lastColumn="0" w:oddVBand="0" w:evenVBand="0" w:oddHBand="0" w:evenHBand="0" w:firstRowFirstColumn="0" w:firstRowLastColumn="0" w:lastRowFirstColumn="0" w:lastRowLastColumn="0"/>
            </w:pPr>
            <w:r w:rsidRPr="0083677E">
              <w:t xml:space="preserve">Planning schemes prepared under the </w:t>
            </w:r>
            <w:r w:rsidRPr="0083677E">
              <w:rPr>
                <w:rStyle w:val="CharacterStyle-Italic"/>
              </w:rPr>
              <w:t xml:space="preserve">Planning and Environment Act 1987 </w:t>
            </w:r>
            <w:r w:rsidRPr="0083677E">
              <w:t xml:space="preserve">contain Heritage Overlays that include sites and places of heritage significance, and where planning approval is required for any demolition, buildings and works. The proposed planning scheme amendments would </w:t>
            </w:r>
            <w:r w:rsidR="0080353C">
              <w:t xml:space="preserve">address </w:t>
            </w:r>
            <w:r w:rsidRPr="0083677E">
              <w:t>sites in Heritage Overlays.</w:t>
            </w:r>
          </w:p>
          <w:p w14:paraId="4E410993" w14:textId="036F50B9" w:rsidR="00C15D6F" w:rsidRPr="0083677E" w:rsidRDefault="00C15D6F" w:rsidP="00C15D6F">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proposed planning scheme amendments would manage sites in Heritage Overlays. Where a site is listed on the Victorian Heritage Register and </w:t>
            </w:r>
            <w:r w:rsidR="00DD241D">
              <w:t xml:space="preserve">is </w:t>
            </w:r>
            <w:r w:rsidRPr="0083677E">
              <w:t xml:space="preserve">in a Heritage Overlay, the requirements of the </w:t>
            </w:r>
            <w:r w:rsidRPr="0083677E">
              <w:rPr>
                <w:rStyle w:val="CharacterStyle-Italic"/>
              </w:rPr>
              <w:t>Heritage Act 1995</w:t>
            </w:r>
            <w:r w:rsidRPr="0083677E">
              <w:t xml:space="preserve"> </w:t>
            </w:r>
            <w:r w:rsidR="0080353C">
              <w:t>overrides</w:t>
            </w:r>
            <w:r w:rsidRPr="0083677E">
              <w:t xml:space="preserve"> the requirements of the planning scheme. Where required, approvals and other consents would be sought from Heritage Victoria.</w:t>
            </w:r>
            <w:r w:rsidR="00AD6031" w:rsidRPr="0083677E">
              <w:t xml:space="preserve"> </w:t>
            </w:r>
          </w:p>
          <w:p w14:paraId="30192ABD" w14:textId="77777777" w:rsidR="00C15D6F" w:rsidRPr="0083677E" w:rsidRDefault="00C15D6F" w:rsidP="000A2CC7">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Where a site is listed on the Victorian Heritage Register or Victorian Heritage Inventory, an approval would generally be required to carry out works or undertake activities (unless specifically exempted). </w:t>
            </w:r>
          </w:p>
        </w:tc>
        <w:tc>
          <w:tcPr>
            <w:tcW w:w="3654" w:type="dxa"/>
            <w:vMerge w:val="restart"/>
          </w:tcPr>
          <w:p w14:paraId="47B1F374" w14:textId="18170F7C" w:rsidR="00C15D6F" w:rsidRPr="0083677E" w:rsidRDefault="00C15D6F" w:rsidP="00DE310E">
            <w:pPr>
              <w:pStyle w:val="TableText"/>
              <w:cnfStyle w:val="000000000000" w:firstRow="0" w:lastRow="0" w:firstColumn="0" w:lastColumn="0" w:oddVBand="0" w:evenVBand="0" w:oddHBand="0" w:evenHBand="0" w:firstRowFirstColumn="0" w:firstRowLastColumn="0" w:lastRowFirstColumn="0" w:lastRowLastColumn="0"/>
            </w:pPr>
            <w:r w:rsidRPr="0083677E">
              <w:rPr>
                <w:rStyle w:val="CharacterStyle-Italic"/>
              </w:rPr>
              <w:t xml:space="preserve">Australia ICOMOS Charter for the Conservation of Places of Cultural Significance (Burra Charter) 2013 </w:t>
            </w:r>
            <w:r w:rsidRPr="0083677E">
              <w:t>defines the basic principles and procedures to be followed in conserving Australian heritage places.</w:t>
            </w:r>
            <w:r w:rsidR="00BB62AA" w:rsidRPr="0083677E">
              <w:t xml:space="preserve"> </w:t>
            </w:r>
          </w:p>
        </w:tc>
        <w:tc>
          <w:tcPr>
            <w:tcW w:w="1635" w:type="dxa"/>
            <w:vMerge w:val="restart"/>
          </w:tcPr>
          <w:p w14:paraId="10D592CB"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15 </w:t>
            </w:r>
            <w:r w:rsidRPr="0083677E">
              <w:rPr>
                <w:rStyle w:val="CharacterStyle-Italic"/>
              </w:rPr>
              <w:t>Aboriginal Cultural Heritage</w:t>
            </w:r>
          </w:p>
          <w:p w14:paraId="6C6D2D91"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K </w:t>
            </w:r>
            <w:r w:rsidRPr="0083677E">
              <w:rPr>
                <w:rStyle w:val="CharacterStyle-Italic"/>
              </w:rPr>
              <w:t>Aboriginal Cultural Heritage</w:t>
            </w:r>
          </w:p>
          <w:p w14:paraId="3379F9E1"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14 </w:t>
            </w:r>
            <w:r w:rsidRPr="0083677E">
              <w:rPr>
                <w:rStyle w:val="CharacterStyle-Italic"/>
              </w:rPr>
              <w:t>Historical Cultural Heritage</w:t>
            </w:r>
          </w:p>
          <w:p w14:paraId="6973FD49"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J </w:t>
            </w:r>
            <w:r w:rsidRPr="0083677E">
              <w:rPr>
                <w:rStyle w:val="CharacterStyle-Italic"/>
              </w:rPr>
              <w:t>Historical Cultural Heritage</w:t>
            </w:r>
          </w:p>
        </w:tc>
      </w:tr>
      <w:tr w:rsidR="00C15D6F" w:rsidRPr="0083677E" w14:paraId="7A56D98B"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2D19B0A3" w14:textId="77777777" w:rsidR="00C15D6F" w:rsidRPr="0083677E" w:rsidRDefault="00C15D6F" w:rsidP="00024FF8">
            <w:pPr>
              <w:pStyle w:val="TableText"/>
              <w:rPr>
                <w:b/>
              </w:rPr>
            </w:pPr>
          </w:p>
        </w:tc>
        <w:tc>
          <w:tcPr>
            <w:tcW w:w="6660" w:type="dxa"/>
          </w:tcPr>
          <w:p w14:paraId="4D9A2359" w14:textId="77777777" w:rsidR="00C15D6F" w:rsidRPr="0083677E" w:rsidRDefault="00C15D6F" w:rsidP="00C15D6F">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w:t>
            </w:r>
            <w:r w:rsidRPr="0083677E">
              <w:rPr>
                <w:rStyle w:val="CharacterStyle-Italic"/>
              </w:rPr>
              <w:t>Aboriginal Heritage Act 2006</w:t>
            </w:r>
            <w:r w:rsidRPr="0083677E">
              <w:t xml:space="preserve"> requires a CHMP to be prepared for any project requiring an EES. The Act’s regulations set standards for the preparation of CHMPs. As Melbourne Metro requires an EES, a CHMP must be prepared.</w:t>
            </w:r>
          </w:p>
        </w:tc>
        <w:tc>
          <w:tcPr>
            <w:tcW w:w="3654" w:type="dxa"/>
            <w:vMerge/>
          </w:tcPr>
          <w:p w14:paraId="2D4AE7C6"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rPr>
                <w:rStyle w:val="CharacterStyle-Italic"/>
              </w:rPr>
            </w:pPr>
          </w:p>
        </w:tc>
        <w:tc>
          <w:tcPr>
            <w:tcW w:w="1635" w:type="dxa"/>
            <w:vMerge/>
          </w:tcPr>
          <w:p w14:paraId="2DAA53A0"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p>
        </w:tc>
      </w:tr>
      <w:tr w:rsidR="00C15D6F" w:rsidRPr="0083677E" w14:paraId="172F894B"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70E4A114" w14:textId="77777777" w:rsidR="00C15D6F" w:rsidRPr="0083677E" w:rsidRDefault="00C15D6F" w:rsidP="00024FF8">
            <w:pPr>
              <w:pStyle w:val="TableText"/>
            </w:pPr>
          </w:p>
        </w:tc>
        <w:tc>
          <w:tcPr>
            <w:tcW w:w="6660" w:type="dxa"/>
          </w:tcPr>
          <w:p w14:paraId="0E047893" w14:textId="7F85FE34" w:rsidR="00C15D6F" w:rsidRPr="0083677E" w:rsidRDefault="00C15D6F">
            <w:pPr>
              <w:pStyle w:val="TableText"/>
              <w:cnfStyle w:val="000000000000" w:firstRow="0" w:lastRow="0" w:firstColumn="0" w:lastColumn="0" w:oddVBand="0" w:evenVBand="0" w:oddHBand="0" w:evenHBand="0" w:firstRowFirstColumn="0" w:firstRowLastColumn="0" w:lastRowFirstColumn="0" w:lastRowLastColumn="0"/>
              <w:rPr>
                <w:rStyle w:val="CharacterStyle-Italic"/>
              </w:rPr>
            </w:pPr>
            <w:r w:rsidRPr="0083677E">
              <w:t xml:space="preserve">The </w:t>
            </w:r>
            <w:r w:rsidR="00DD241D" w:rsidRPr="00CC24DD">
              <w:rPr>
                <w:rStyle w:val="CharacterStyle-Italic"/>
                <w:i w:val="0"/>
              </w:rPr>
              <w:t>EPBC Act</w:t>
            </w:r>
            <w:r w:rsidRPr="0083677E">
              <w:t xml:space="preserve"> regulates the protection of places listed on the Commonwealth Heritage and National Heritage List as well as Commonwealth land. No approval is required for Melbourne Metro under the EPBC Act, as long as it is undertaken in the particular manner set out in the Commonwealth Government’s referral decision of 22 September 2015 (see Section 1.6 in Chapter 1).</w:t>
            </w:r>
          </w:p>
        </w:tc>
        <w:tc>
          <w:tcPr>
            <w:tcW w:w="3654" w:type="dxa"/>
            <w:vMerge/>
          </w:tcPr>
          <w:p w14:paraId="5C926010"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p>
        </w:tc>
        <w:tc>
          <w:tcPr>
            <w:tcW w:w="1635" w:type="dxa"/>
            <w:vMerge/>
          </w:tcPr>
          <w:p w14:paraId="767C3CA5"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p>
        </w:tc>
      </w:tr>
      <w:tr w:rsidR="004B1D4C" w:rsidRPr="0083677E" w14:paraId="6C49BBFB"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tcPr>
          <w:p w14:paraId="15B2C5C2" w14:textId="77777777" w:rsidR="004B1D4C" w:rsidRPr="0083677E" w:rsidRDefault="004B1D4C" w:rsidP="00024FF8">
            <w:pPr>
              <w:pStyle w:val="TableText"/>
              <w:rPr>
                <w:b/>
              </w:rPr>
            </w:pPr>
            <w:r w:rsidRPr="0083677E">
              <w:rPr>
                <w:b/>
              </w:rPr>
              <w:lastRenderedPageBreak/>
              <w:t xml:space="preserve">Land stability </w:t>
            </w:r>
          </w:p>
          <w:p w14:paraId="06597035" w14:textId="77777777" w:rsidR="004B1D4C" w:rsidRPr="0083677E" w:rsidRDefault="004B1D4C" w:rsidP="00024FF8">
            <w:pPr>
              <w:pStyle w:val="TableText"/>
            </w:pPr>
            <w:r w:rsidRPr="0083677E">
              <w:t>– To avoid or minimise adverse effects on land stability that might arise directly or indirectly from project works</w:t>
            </w:r>
          </w:p>
        </w:tc>
        <w:tc>
          <w:tcPr>
            <w:tcW w:w="6660" w:type="dxa"/>
          </w:tcPr>
          <w:p w14:paraId="303254BB" w14:textId="77777777" w:rsidR="004B1D4C" w:rsidRPr="0083677E" w:rsidRDefault="004B1D4C" w:rsidP="00DD3070">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Key objectives of the </w:t>
            </w:r>
            <w:r w:rsidRPr="0083677E">
              <w:rPr>
                <w:rStyle w:val="CharacterStyle-Italic"/>
              </w:rPr>
              <w:t>Planning and Environment Act 1987</w:t>
            </w:r>
            <w:r w:rsidRPr="0083677E">
              <w:t xml:space="preserve"> relate to the need to provide for the sustainable use of land, the protection of natural and man-made resources, securing of a safe working, living and recreational environment and protection of public utilities and other facilities.</w:t>
            </w:r>
            <w:r w:rsidRPr="0083677E">
              <w:rPr>
                <w:rStyle w:val="CharacterStyle-Italic"/>
              </w:rPr>
              <w:t xml:space="preserve"> </w:t>
            </w:r>
          </w:p>
          <w:p w14:paraId="15E95B9C" w14:textId="205D889A" w:rsidR="004B1D4C" w:rsidRPr="0083677E" w:rsidRDefault="004B1D4C" w:rsidP="00DD3070">
            <w:pPr>
              <w:pStyle w:val="TableText"/>
              <w:cnfStyle w:val="000000000000" w:firstRow="0" w:lastRow="0" w:firstColumn="0" w:lastColumn="0" w:oddVBand="0" w:evenVBand="0" w:oddHBand="0" w:evenHBand="0" w:firstRowFirstColumn="0" w:firstRowLastColumn="0" w:lastRowFirstColumn="0" w:lastRowLastColumn="0"/>
            </w:pPr>
            <w:r w:rsidRPr="0083677E">
              <w:t xml:space="preserve">Geotechnical investigations </w:t>
            </w:r>
            <w:r w:rsidR="0080353C">
              <w:t>have been</w:t>
            </w:r>
            <w:r w:rsidRPr="0083677E">
              <w:t xml:space="preserve"> undertaken to ensure that direct and indirect ground movements from the construction and operation of Melbourne Metro would not adversely impact structures, infrastructure and amenity in the following categories:</w:t>
            </w:r>
          </w:p>
          <w:p w14:paraId="346C22B3" w14:textId="77777777" w:rsidR="004B1D4C" w:rsidRPr="0083677E" w:rsidRDefault="004B1D4C" w:rsidP="00DD3070">
            <w:pPr>
              <w:pStyle w:val="TableBullet1"/>
              <w:cnfStyle w:val="000000000000" w:firstRow="0" w:lastRow="0" w:firstColumn="0" w:lastColumn="0" w:oddVBand="0" w:evenVBand="0" w:oddHBand="0" w:evenHBand="0" w:firstRowFirstColumn="0" w:firstRowLastColumn="0" w:lastRowFirstColumn="0" w:lastRowLastColumn="0"/>
            </w:pPr>
            <w:r w:rsidRPr="0083677E">
              <w:t>Rail and tram services and furniture</w:t>
            </w:r>
          </w:p>
          <w:p w14:paraId="337BFB41" w14:textId="22527D83" w:rsidR="004B1D4C" w:rsidRPr="0083677E" w:rsidRDefault="004B1D4C" w:rsidP="00DD3070">
            <w:pPr>
              <w:pStyle w:val="TableBullet1"/>
              <w:cnfStyle w:val="000000000000" w:firstRow="0" w:lastRow="0" w:firstColumn="0" w:lastColumn="0" w:oddVBand="0" w:evenVBand="0" w:oddHBand="0" w:evenHBand="0" w:firstRowFirstColumn="0" w:firstRowLastColumn="0" w:lastRowFirstColumn="0" w:lastRowLastColumn="0"/>
            </w:pPr>
            <w:r w:rsidRPr="0083677E">
              <w:t>Existing buildings, including significant heritage</w:t>
            </w:r>
            <w:r w:rsidR="00AD6031" w:rsidRPr="0083677E">
              <w:t xml:space="preserve"> </w:t>
            </w:r>
            <w:r w:rsidRPr="0083677E">
              <w:t>structures</w:t>
            </w:r>
          </w:p>
          <w:p w14:paraId="3662B85E" w14:textId="77777777" w:rsidR="004B1D4C" w:rsidRPr="0083677E" w:rsidRDefault="004B1D4C" w:rsidP="00DD3070">
            <w:pPr>
              <w:pStyle w:val="TableBullet1"/>
              <w:cnfStyle w:val="000000000000" w:firstRow="0" w:lastRow="0" w:firstColumn="0" w:lastColumn="0" w:oddVBand="0" w:evenVBand="0" w:oddHBand="0" w:evenHBand="0" w:firstRowFirstColumn="0" w:firstRowLastColumn="0" w:lastRowFirstColumn="0" w:lastRowLastColumn="0"/>
            </w:pPr>
            <w:r w:rsidRPr="0083677E">
              <w:t>Existing road pavement</w:t>
            </w:r>
          </w:p>
          <w:p w14:paraId="0447BA21" w14:textId="77777777" w:rsidR="004B1D4C" w:rsidRPr="0083677E" w:rsidRDefault="004B1D4C" w:rsidP="00DD3070">
            <w:pPr>
              <w:pStyle w:val="TableBullet1"/>
              <w:cnfStyle w:val="000000000000" w:firstRow="0" w:lastRow="0" w:firstColumn="0" w:lastColumn="0" w:oddVBand="0" w:evenVBand="0" w:oddHBand="0" w:evenHBand="0" w:firstRowFirstColumn="0" w:firstRowLastColumn="0" w:lastRowFirstColumn="0" w:lastRowLastColumn="0"/>
              <w:rPr>
                <w:rStyle w:val="CharacterStyle-Italic"/>
              </w:rPr>
            </w:pPr>
            <w:r w:rsidRPr="0083677E">
              <w:t>Existing underground services.</w:t>
            </w:r>
          </w:p>
        </w:tc>
        <w:tc>
          <w:tcPr>
            <w:tcW w:w="3654" w:type="dxa"/>
          </w:tcPr>
          <w:p w14:paraId="4EBC3E82" w14:textId="69185BC6" w:rsidR="004B1D4C" w:rsidRPr="0083677E" w:rsidRDefault="00DD241D" w:rsidP="00024FF8">
            <w:pPr>
              <w:pStyle w:val="TableText"/>
              <w:cnfStyle w:val="000000000000" w:firstRow="0" w:lastRow="0" w:firstColumn="0" w:lastColumn="0" w:oddVBand="0" w:evenVBand="0" w:oddHBand="0" w:evenHBand="0" w:firstRowFirstColumn="0" w:firstRowLastColumn="0" w:lastRowFirstColumn="0" w:lastRowLastColumn="0"/>
            </w:pPr>
            <w:r>
              <w:t>n/a</w:t>
            </w:r>
          </w:p>
        </w:tc>
        <w:tc>
          <w:tcPr>
            <w:tcW w:w="1635" w:type="dxa"/>
          </w:tcPr>
          <w:p w14:paraId="26B6D5BF"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19 </w:t>
            </w:r>
            <w:r w:rsidRPr="0083677E">
              <w:rPr>
                <w:rStyle w:val="CharacterStyle-Italic"/>
              </w:rPr>
              <w:t>Ground Movement and Land Stability</w:t>
            </w:r>
          </w:p>
          <w:p w14:paraId="4F32D607"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P </w:t>
            </w:r>
            <w:r w:rsidRPr="0083677E">
              <w:rPr>
                <w:rStyle w:val="CharacterStyle-Italic"/>
              </w:rPr>
              <w:t>Ground Movement and Land Stability</w:t>
            </w:r>
          </w:p>
        </w:tc>
      </w:tr>
      <w:tr w:rsidR="004B1D4C" w:rsidRPr="0083677E" w14:paraId="487313DF"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tcPr>
          <w:p w14:paraId="63BD8C89" w14:textId="77777777" w:rsidR="004B1D4C" w:rsidRPr="0083677E" w:rsidRDefault="004B1D4C" w:rsidP="00024FF8">
            <w:pPr>
              <w:pStyle w:val="TableText"/>
              <w:rPr>
                <w:b/>
              </w:rPr>
            </w:pPr>
            <w:r w:rsidRPr="0083677E">
              <w:rPr>
                <w:b/>
              </w:rPr>
              <w:lastRenderedPageBreak/>
              <w:t xml:space="preserve">Landscape, visual and recreational values </w:t>
            </w:r>
          </w:p>
          <w:p w14:paraId="79C54373" w14:textId="77777777" w:rsidR="004B1D4C" w:rsidRPr="0083677E" w:rsidRDefault="004B1D4C" w:rsidP="00024FF8">
            <w:pPr>
              <w:pStyle w:val="TableText"/>
            </w:pPr>
            <w:r w:rsidRPr="0083677E">
              <w:t>– To avoid or minimise adverse effects on landscape, visual amenity and recreational values as far as practicable</w:t>
            </w:r>
          </w:p>
        </w:tc>
        <w:tc>
          <w:tcPr>
            <w:tcW w:w="6660" w:type="dxa"/>
          </w:tcPr>
          <w:p w14:paraId="2A9F07A3" w14:textId="77777777" w:rsidR="00672EF0" w:rsidRPr="0083677E" w:rsidRDefault="00672EF0" w:rsidP="00672EF0">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w:t>
            </w:r>
            <w:r w:rsidRPr="0083677E">
              <w:rPr>
                <w:rStyle w:val="CharacterStyle-Italic"/>
              </w:rPr>
              <w:t>Planning and Environment Act 1987</w:t>
            </w:r>
            <w:r w:rsidRPr="0083677E">
              <w:t xml:space="preserve"> provides the framework for the use, development and protection of land in Victoria. </w:t>
            </w:r>
          </w:p>
          <w:p w14:paraId="31F4C0D2" w14:textId="42D485D7" w:rsidR="004B1D4C" w:rsidRPr="0083677E" w:rsidRDefault="0080353C" w:rsidP="00DD3070">
            <w:pPr>
              <w:pStyle w:val="TableText"/>
              <w:cnfStyle w:val="000000000000" w:firstRow="0" w:lastRow="0" w:firstColumn="0" w:lastColumn="0" w:oddVBand="0" w:evenVBand="0" w:oddHBand="0" w:evenHBand="0" w:firstRowFirstColumn="0" w:firstRowLastColumn="0" w:lastRowFirstColumn="0" w:lastRowLastColumn="0"/>
              <w:rPr>
                <w:rStyle w:val="CharacterStyle-Italic"/>
              </w:rPr>
            </w:pPr>
            <w:r w:rsidRPr="00024FF8">
              <w:t>P</w:t>
            </w:r>
            <w:r w:rsidRPr="00DD3070">
              <w:t xml:space="preserve">lanning </w:t>
            </w:r>
            <w:r>
              <w:t>scheme amendments are required</w:t>
            </w:r>
            <w:r w:rsidRPr="00DD3070">
              <w:t xml:space="preserve"> </w:t>
            </w:r>
            <w:r>
              <w:t xml:space="preserve">for Melbourne Metro. </w:t>
            </w:r>
            <w:r w:rsidRPr="00DD3070">
              <w:t>These amendments would include a requirement to comply with the project</w:t>
            </w:r>
            <w:r>
              <w:t>'</w:t>
            </w:r>
            <w:r w:rsidRPr="00DD3070">
              <w:t xml:space="preserve">s </w:t>
            </w:r>
            <w:r>
              <w:t>U</w:t>
            </w:r>
            <w:r w:rsidRPr="00DD3070">
              <w:t xml:space="preserve">rban </w:t>
            </w:r>
            <w:r>
              <w:t>D</w:t>
            </w:r>
            <w:r w:rsidRPr="00DD3070">
              <w:t xml:space="preserve">esign </w:t>
            </w:r>
            <w:r>
              <w:t>S</w:t>
            </w:r>
            <w:r w:rsidRPr="00DD3070">
              <w:t>trategy</w:t>
            </w:r>
            <w:r>
              <w:t>.</w:t>
            </w:r>
          </w:p>
        </w:tc>
        <w:tc>
          <w:tcPr>
            <w:tcW w:w="3654" w:type="dxa"/>
          </w:tcPr>
          <w:p w14:paraId="15961281" w14:textId="01EE7C5D" w:rsidR="00672EF0" w:rsidRPr="0083677E" w:rsidRDefault="00672EF0" w:rsidP="00672EF0">
            <w:pPr>
              <w:pStyle w:val="TableText"/>
              <w:cnfStyle w:val="000000000000" w:firstRow="0" w:lastRow="0" w:firstColumn="0" w:lastColumn="0" w:oddVBand="0" w:evenVBand="0" w:oddHBand="0" w:evenHBand="0" w:firstRowFirstColumn="0" w:firstRowLastColumn="0" w:lastRowFirstColumn="0" w:lastRowLastColumn="0"/>
            </w:pPr>
            <w:r w:rsidRPr="0083677E">
              <w:t xml:space="preserve">Relevant clauses of the State Planning Policy Framework </w:t>
            </w:r>
            <w:r w:rsidR="00DD241D">
              <w:t>of the four planning schemes</w:t>
            </w:r>
            <w:r w:rsidRPr="0083677E">
              <w:t xml:space="preserve"> are:</w:t>
            </w:r>
          </w:p>
          <w:p w14:paraId="3950AD04" w14:textId="77777777" w:rsidR="00672EF0" w:rsidRPr="0083677E" w:rsidRDefault="00672EF0" w:rsidP="00672EF0">
            <w:pPr>
              <w:pStyle w:val="TableBullet1"/>
              <w:cnfStyle w:val="000000000000" w:firstRow="0" w:lastRow="0" w:firstColumn="0" w:lastColumn="0" w:oddVBand="0" w:evenVBand="0" w:oddHBand="0" w:evenHBand="0" w:firstRowFirstColumn="0" w:firstRowLastColumn="0" w:lastRowFirstColumn="0" w:lastRowLastColumn="0"/>
            </w:pPr>
            <w:r w:rsidRPr="0083677E">
              <w:t>Clause 12: Environment and Landscape Values</w:t>
            </w:r>
          </w:p>
          <w:p w14:paraId="670A373C" w14:textId="77777777" w:rsidR="00672EF0" w:rsidRPr="0083677E" w:rsidRDefault="00672EF0" w:rsidP="00672EF0">
            <w:pPr>
              <w:pStyle w:val="TableBullet1"/>
              <w:cnfStyle w:val="000000000000" w:firstRow="0" w:lastRow="0" w:firstColumn="0" w:lastColumn="0" w:oddVBand="0" w:evenVBand="0" w:oddHBand="0" w:evenHBand="0" w:firstRowFirstColumn="0" w:firstRowLastColumn="0" w:lastRowFirstColumn="0" w:lastRowLastColumn="0"/>
            </w:pPr>
            <w:r w:rsidRPr="0083677E">
              <w:t>Clause 15: Built Environment and Heritage</w:t>
            </w:r>
          </w:p>
          <w:p w14:paraId="0DF5EF43" w14:textId="4011FBC5" w:rsidR="00672EF0" w:rsidRPr="0083677E" w:rsidRDefault="00672EF0" w:rsidP="00672EF0">
            <w:pPr>
              <w:pStyle w:val="TableBullet1"/>
              <w:cnfStyle w:val="000000000000" w:firstRow="0" w:lastRow="0" w:firstColumn="0" w:lastColumn="0" w:oddVBand="0" w:evenVBand="0" w:oddHBand="0" w:evenHBand="0" w:firstRowFirstColumn="0" w:firstRowLastColumn="0" w:lastRowFirstColumn="0" w:lastRowLastColumn="0"/>
            </w:pPr>
            <w:r w:rsidRPr="0083677E">
              <w:t>Clause 18: Transport</w:t>
            </w:r>
            <w:r w:rsidR="00B03520" w:rsidRPr="0083677E">
              <w:t>.</w:t>
            </w:r>
          </w:p>
          <w:p w14:paraId="2EE8977C" w14:textId="77777777" w:rsidR="00672EF0" w:rsidRPr="0083677E" w:rsidRDefault="00672EF0" w:rsidP="00672EF0">
            <w:pPr>
              <w:pStyle w:val="TableText"/>
              <w:cnfStyle w:val="000000000000" w:firstRow="0" w:lastRow="0" w:firstColumn="0" w:lastColumn="0" w:oddVBand="0" w:evenVBand="0" w:oddHBand="0" w:evenHBand="0" w:firstRowFirstColumn="0" w:firstRowLastColumn="0" w:lastRowFirstColumn="0" w:lastRowLastColumn="0"/>
            </w:pPr>
            <w:r w:rsidRPr="0083677E">
              <w:t>Relevant clauses highlight the need to protect areas of landscape value, particularly where these contribute to character and identity, and to ensure that a new land use proposal responds to its landscape context and protects areas with significant aesthetic value. Development must also minimise disruption of residential communities and their amenity and protect the city's overall urban structure.</w:t>
            </w:r>
          </w:p>
          <w:p w14:paraId="54C25E3D" w14:textId="6E1F72D4" w:rsidR="004B1D4C" w:rsidRPr="0083677E" w:rsidRDefault="00672EF0" w:rsidP="00C10BE1">
            <w:pPr>
              <w:pStyle w:val="TableText"/>
              <w:cnfStyle w:val="000000000000" w:firstRow="0" w:lastRow="0" w:firstColumn="0" w:lastColumn="0" w:oddVBand="0" w:evenVBand="0" w:oddHBand="0" w:evenHBand="0" w:firstRowFirstColumn="0" w:firstRowLastColumn="0" w:lastRowFirstColumn="0" w:lastRowLastColumn="0"/>
            </w:pPr>
            <w:r w:rsidRPr="0083677E">
              <w:t xml:space="preserve">The Municipal Strategic Statement and Local Planning Policy of each planning scheme </w:t>
            </w:r>
            <w:proofErr w:type="gramStart"/>
            <w:r w:rsidR="00C10BE1">
              <w:t>is</w:t>
            </w:r>
            <w:proofErr w:type="gramEnd"/>
            <w:r w:rsidR="00C10BE1">
              <w:t xml:space="preserve"> also relevant</w:t>
            </w:r>
            <w:r w:rsidRPr="0083677E">
              <w:t>.</w:t>
            </w:r>
            <w:r w:rsidRPr="0083677E">
              <w:rPr>
                <w:rStyle w:val="CharacterStyle-Italic"/>
              </w:rPr>
              <w:t xml:space="preserve"> </w:t>
            </w:r>
          </w:p>
        </w:tc>
        <w:tc>
          <w:tcPr>
            <w:tcW w:w="1635" w:type="dxa"/>
          </w:tcPr>
          <w:p w14:paraId="3FA639BB"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10 </w:t>
            </w:r>
            <w:r w:rsidRPr="0083677E">
              <w:rPr>
                <w:rStyle w:val="CharacterStyle-Italic"/>
              </w:rPr>
              <w:t>Social and Community</w:t>
            </w:r>
          </w:p>
          <w:p w14:paraId="6701802A"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16 </w:t>
            </w:r>
            <w:r w:rsidRPr="0083677E">
              <w:rPr>
                <w:rStyle w:val="CharacterStyle-Italic"/>
              </w:rPr>
              <w:t>Landscape and Visual</w:t>
            </w:r>
          </w:p>
          <w:p w14:paraId="3F9EC52B" w14:textId="77777777" w:rsidR="004B1D4C" w:rsidRPr="0083677E" w:rsidRDefault="004B1D4C"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F </w:t>
            </w:r>
            <w:r w:rsidRPr="0083677E">
              <w:rPr>
                <w:rStyle w:val="CharacterStyle-Italic"/>
              </w:rPr>
              <w:t>Social and Community</w:t>
            </w:r>
          </w:p>
          <w:p w14:paraId="48FECA67" w14:textId="77777777" w:rsidR="004B1D4C" w:rsidRPr="0083677E" w:rsidRDefault="004B1D4C" w:rsidP="00F1270A">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L </w:t>
            </w:r>
            <w:r w:rsidRPr="0083677E">
              <w:rPr>
                <w:rStyle w:val="CharacterStyle-Italic"/>
              </w:rPr>
              <w:t>Landscape and Visual</w:t>
            </w:r>
            <w:r w:rsidRPr="0083677E">
              <w:t xml:space="preserve"> </w:t>
            </w:r>
          </w:p>
          <w:p w14:paraId="71A7ABB4" w14:textId="77777777" w:rsidR="004B1D4C" w:rsidRPr="0083677E" w:rsidRDefault="004B1D4C" w:rsidP="00F1270A">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M </w:t>
            </w:r>
            <w:r w:rsidRPr="0083677E">
              <w:rPr>
                <w:rStyle w:val="CharacterStyle-Italic"/>
              </w:rPr>
              <w:t>Urban Design Strategy</w:t>
            </w:r>
          </w:p>
        </w:tc>
      </w:tr>
      <w:tr w:rsidR="00C15D6F" w:rsidRPr="0083677E" w14:paraId="2AFD9D18"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01CE390B" w14:textId="77777777" w:rsidR="00C15D6F" w:rsidRPr="0083677E" w:rsidRDefault="00C15D6F" w:rsidP="00F26DCC">
            <w:pPr>
              <w:pStyle w:val="TableText"/>
              <w:keepNext/>
              <w:keepLines/>
              <w:rPr>
                <w:rStyle w:val="CharacterStyle-Bold"/>
              </w:rPr>
            </w:pPr>
            <w:r w:rsidRPr="0083677E">
              <w:rPr>
                <w:rStyle w:val="CharacterStyle-Bold"/>
              </w:rPr>
              <w:lastRenderedPageBreak/>
              <w:t xml:space="preserve">Hydrology, water quality and waste management </w:t>
            </w:r>
          </w:p>
          <w:p w14:paraId="5F6F051B" w14:textId="77777777" w:rsidR="00C15D6F" w:rsidRPr="0083677E" w:rsidRDefault="00C15D6F" w:rsidP="00F26DCC">
            <w:pPr>
              <w:pStyle w:val="TableText"/>
              <w:keepNext/>
              <w:keepLines/>
            </w:pPr>
            <w:r w:rsidRPr="0083677E">
              <w:t>– To protect waterways and waterway function and surface water and groundwater quality in accordance with statutory objectives, to identify and prevent potential adverse environmental effects resulting from the disturbance of contaminated or acid-forming material and to manage excavation spoil and other waste in accordance with relevant best practice principles</w:t>
            </w:r>
          </w:p>
        </w:tc>
        <w:tc>
          <w:tcPr>
            <w:tcW w:w="6660" w:type="dxa"/>
          </w:tcPr>
          <w:p w14:paraId="4123B9CC"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The </w:t>
            </w:r>
            <w:r w:rsidRPr="0083677E">
              <w:rPr>
                <w:rStyle w:val="CharacterStyle-Italic"/>
              </w:rPr>
              <w:t>Environment Protection Act 1970</w:t>
            </w:r>
            <w:r w:rsidRPr="0083677E">
              <w:t xml:space="preserve"> provides a legal framework to protect the environment in Victoria, and provides for the preparation of State Environment Protection Policies (SEPPs). </w:t>
            </w:r>
          </w:p>
        </w:tc>
        <w:tc>
          <w:tcPr>
            <w:tcW w:w="3654" w:type="dxa"/>
            <w:vMerge w:val="restart"/>
          </w:tcPr>
          <w:p w14:paraId="129BA18D"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Melbourne Metro would be required to comply with specific criteria derived from relevant policies and guidelines dealing with the protection and use of water resources, including:</w:t>
            </w:r>
          </w:p>
          <w:p w14:paraId="77915AE9" w14:textId="4340E573" w:rsidR="00C15D6F" w:rsidRPr="0083677E" w:rsidRDefault="00C15D6F" w:rsidP="00F26DCC">
            <w:pPr>
              <w:pStyle w:val="TableBullet1"/>
              <w:keepNext/>
              <w:keepLines/>
              <w:cnfStyle w:val="000000000000" w:firstRow="0" w:lastRow="0" w:firstColumn="0" w:lastColumn="0" w:oddVBand="0" w:evenVBand="0" w:oddHBand="0" w:evenHBand="0" w:firstRowFirstColumn="0" w:firstRowLastColumn="0" w:lastRowFirstColumn="0" w:lastRowLastColumn="0"/>
            </w:pPr>
            <w:r w:rsidRPr="0083677E">
              <w:t>SEPP (Waters of Victoria), which provides a framework for the protection of water resources and associated benef</w:t>
            </w:r>
            <w:r w:rsidR="00B03520" w:rsidRPr="0083677E">
              <w:t>icial uses throughout Victoria</w:t>
            </w:r>
          </w:p>
          <w:p w14:paraId="1E59A1CB" w14:textId="77777777" w:rsidR="00C15D6F" w:rsidRPr="0083677E" w:rsidRDefault="00C15D6F" w:rsidP="00F26DCC">
            <w:pPr>
              <w:pStyle w:val="TableBullet1"/>
              <w:keepNext/>
              <w:keepLines/>
              <w:cnfStyle w:val="000000000000" w:firstRow="0" w:lastRow="0" w:firstColumn="0" w:lastColumn="0" w:oddVBand="0" w:evenVBand="0" w:oddHBand="0" w:evenHBand="0" w:firstRowFirstColumn="0" w:firstRowLastColumn="0" w:lastRowFirstColumn="0" w:lastRowLastColumn="0"/>
            </w:pPr>
            <w:r w:rsidRPr="0083677E">
              <w:t>SEPP (</w:t>
            </w:r>
            <w:proofErr w:type="spellStart"/>
            <w:r w:rsidRPr="0083677E">
              <w:t>Groundwaters</w:t>
            </w:r>
            <w:proofErr w:type="spellEnd"/>
            <w:r w:rsidRPr="0083677E">
              <w:t xml:space="preserve"> of Victoria), which provides a framework for protecting groundwater resources and associated beneficial uses throughout Victoria. </w:t>
            </w:r>
          </w:p>
        </w:tc>
        <w:tc>
          <w:tcPr>
            <w:tcW w:w="1635" w:type="dxa"/>
            <w:vMerge w:val="restart"/>
          </w:tcPr>
          <w:p w14:paraId="6FA0BA0A"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 xml:space="preserve">Chapter 17 </w:t>
            </w:r>
            <w:r w:rsidRPr="0083677E">
              <w:rPr>
                <w:rStyle w:val="CharacterStyle-Italic"/>
              </w:rPr>
              <w:t>Surface Water</w:t>
            </w:r>
          </w:p>
          <w:p w14:paraId="040E14E9"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 xml:space="preserve">Chapter 18 </w:t>
            </w:r>
            <w:r w:rsidRPr="0083677E">
              <w:rPr>
                <w:rStyle w:val="CharacterStyle-Italic"/>
              </w:rPr>
              <w:t>Groundwater</w:t>
            </w:r>
          </w:p>
          <w:p w14:paraId="2B44EB1D"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 xml:space="preserve">Technical Appendix N </w:t>
            </w:r>
            <w:r w:rsidRPr="0083677E">
              <w:rPr>
                <w:rStyle w:val="CharacterStyle-Italic"/>
              </w:rPr>
              <w:t>Surface Water</w:t>
            </w:r>
          </w:p>
          <w:p w14:paraId="0DFC816B"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 xml:space="preserve">Technical Appendix O </w:t>
            </w:r>
            <w:r w:rsidRPr="0083677E">
              <w:rPr>
                <w:rStyle w:val="CharacterStyle-Italic"/>
              </w:rPr>
              <w:t>Groundwater</w:t>
            </w:r>
          </w:p>
        </w:tc>
      </w:tr>
      <w:tr w:rsidR="00C15D6F" w:rsidRPr="0083677E" w14:paraId="556774B7"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5E807689" w14:textId="77777777" w:rsidR="00C15D6F" w:rsidRPr="0083677E" w:rsidRDefault="00C15D6F" w:rsidP="00F26DCC">
            <w:pPr>
              <w:pStyle w:val="TableText"/>
              <w:keepNext/>
              <w:keepLines/>
              <w:rPr>
                <w:rStyle w:val="CharacterStyle-Bold"/>
              </w:rPr>
            </w:pPr>
          </w:p>
        </w:tc>
        <w:tc>
          <w:tcPr>
            <w:tcW w:w="6660" w:type="dxa"/>
          </w:tcPr>
          <w:p w14:paraId="0150574A"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 xml:space="preserve">The </w:t>
            </w:r>
            <w:r w:rsidRPr="0083677E">
              <w:rPr>
                <w:rStyle w:val="CharacterStyle-Italic"/>
              </w:rPr>
              <w:t>Water Act 1989</w:t>
            </w:r>
            <w:r w:rsidRPr="0083677E">
              <w:t xml:space="preserve"> provides for management of the State’s water resources. Within the proposed project boundary, Melbourne Water is responsible for managing surface water and Southern Rural Water for managing groundwater.</w:t>
            </w:r>
          </w:p>
          <w:p w14:paraId="02316C7B" w14:textId="6A76F21A"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 xml:space="preserve">The Maribyrnong River, Moonee Ponds Creek and Yarra River are designated waterways under the </w:t>
            </w:r>
            <w:r w:rsidRPr="0083677E">
              <w:rPr>
                <w:rStyle w:val="CharacterStyle-Italic"/>
              </w:rPr>
              <w:t>Water Act 1989</w:t>
            </w:r>
            <w:r w:rsidRPr="0083677E">
              <w:t xml:space="preserve">. As such, permits would be required from Melbourne Water for works within or over these waterways. </w:t>
            </w:r>
          </w:p>
          <w:p w14:paraId="3D1B5FCF"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r w:rsidRPr="0083677E">
              <w:t xml:space="preserve">A licence for groundwater dewatering and recharge would need to be issued by Southern Rural Water under the </w:t>
            </w:r>
            <w:r w:rsidRPr="0083677E">
              <w:rPr>
                <w:rStyle w:val="CharacterStyle-Italic"/>
              </w:rPr>
              <w:t>Water Act 1989</w:t>
            </w:r>
            <w:r w:rsidRPr="0083677E">
              <w:t>.</w:t>
            </w:r>
          </w:p>
        </w:tc>
        <w:tc>
          <w:tcPr>
            <w:tcW w:w="3654" w:type="dxa"/>
            <w:vMerge/>
          </w:tcPr>
          <w:p w14:paraId="5E376538"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p>
        </w:tc>
        <w:tc>
          <w:tcPr>
            <w:tcW w:w="1635" w:type="dxa"/>
            <w:vMerge/>
          </w:tcPr>
          <w:p w14:paraId="0E32FED9" w14:textId="77777777" w:rsidR="00C15D6F" w:rsidRPr="0083677E" w:rsidRDefault="00C15D6F" w:rsidP="00F26DCC">
            <w:pPr>
              <w:pStyle w:val="TableText"/>
              <w:keepNext/>
              <w:keepLines/>
              <w:cnfStyle w:val="000000000000" w:firstRow="0" w:lastRow="0" w:firstColumn="0" w:lastColumn="0" w:oddVBand="0" w:evenVBand="0" w:oddHBand="0" w:evenHBand="0" w:firstRowFirstColumn="0" w:firstRowLastColumn="0" w:lastRowFirstColumn="0" w:lastRowLastColumn="0"/>
            </w:pPr>
          </w:p>
        </w:tc>
      </w:tr>
      <w:tr w:rsidR="00C15D6F" w:rsidRPr="0083677E" w14:paraId="13CC344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7CF57EEC" w14:textId="77777777" w:rsidR="00C15D6F" w:rsidRPr="0083677E" w:rsidRDefault="00C15D6F" w:rsidP="00024FF8">
            <w:pPr>
              <w:pStyle w:val="TableText"/>
              <w:rPr>
                <w:rStyle w:val="CharacterStyle-Bold"/>
              </w:rPr>
            </w:pPr>
          </w:p>
        </w:tc>
        <w:tc>
          <w:tcPr>
            <w:tcW w:w="6660" w:type="dxa"/>
          </w:tcPr>
          <w:p w14:paraId="711319E5" w14:textId="7F2C4CC1" w:rsidR="00C15D6F" w:rsidRPr="0083677E" w:rsidRDefault="00C15D6F" w:rsidP="00C15D6F">
            <w:pPr>
              <w:pStyle w:val="TableText"/>
              <w:cnfStyle w:val="000000000000" w:firstRow="0" w:lastRow="0" w:firstColumn="0" w:lastColumn="0" w:oddVBand="0" w:evenVBand="0" w:oddHBand="0" w:evenHBand="0" w:firstRowFirstColumn="0" w:firstRowLastColumn="0" w:lastRowFirstColumn="0" w:lastRowLastColumn="0"/>
            </w:pPr>
            <w:r w:rsidRPr="0083677E">
              <w:t>Planning Schemes manage the presence and movement of surface water and overland flows via Land Subject to Inundation, Special Building and Floodway Overlays.</w:t>
            </w:r>
          </w:p>
          <w:p w14:paraId="04D55145" w14:textId="496BD6F6" w:rsidR="00C15D6F" w:rsidRPr="0083677E" w:rsidRDefault="00C15D6F">
            <w:pPr>
              <w:pStyle w:val="TableText"/>
              <w:cnfStyle w:val="000000000000" w:firstRow="0" w:lastRow="0" w:firstColumn="0" w:lastColumn="0" w:oddVBand="0" w:evenVBand="0" w:oddHBand="0" w:evenHBand="0" w:firstRowFirstColumn="0" w:firstRowLastColumn="0" w:lastRowFirstColumn="0" w:lastRowLastColumn="0"/>
            </w:pPr>
            <w:r w:rsidRPr="0083677E">
              <w:t xml:space="preserve">Land Subject to Inundation and Special Building Overlays exist within the proposed project boundary, potentially triggering the need for planning approval to be granted prior to commencement of works. This would be addressed through the proposed </w:t>
            </w:r>
            <w:r w:rsidR="00DD241D">
              <w:t>p</w:t>
            </w:r>
            <w:r w:rsidRPr="0083677E">
              <w:t xml:space="preserve">lanning </w:t>
            </w:r>
            <w:r w:rsidR="00DD241D">
              <w:t>s</w:t>
            </w:r>
            <w:r w:rsidRPr="0083677E">
              <w:t xml:space="preserve">cheme </w:t>
            </w:r>
            <w:r w:rsidR="00DD241D">
              <w:t>a</w:t>
            </w:r>
            <w:r w:rsidRPr="0083677E">
              <w:t>mendments for Melbourne Metro.</w:t>
            </w:r>
          </w:p>
        </w:tc>
        <w:tc>
          <w:tcPr>
            <w:tcW w:w="3654" w:type="dxa"/>
            <w:vMerge/>
          </w:tcPr>
          <w:p w14:paraId="069B66E9" w14:textId="77777777" w:rsidR="00C15D6F" w:rsidRPr="0083677E" w:rsidRDefault="00C15D6F" w:rsidP="000370FB">
            <w:pPr>
              <w:pStyle w:val="TableText"/>
              <w:cnfStyle w:val="000000000000" w:firstRow="0" w:lastRow="0" w:firstColumn="0" w:lastColumn="0" w:oddVBand="0" w:evenVBand="0" w:oddHBand="0" w:evenHBand="0" w:firstRowFirstColumn="0" w:firstRowLastColumn="0" w:lastRowFirstColumn="0" w:lastRowLastColumn="0"/>
            </w:pPr>
          </w:p>
        </w:tc>
        <w:tc>
          <w:tcPr>
            <w:tcW w:w="1635" w:type="dxa"/>
            <w:vMerge/>
          </w:tcPr>
          <w:p w14:paraId="12C7BDE2"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p>
        </w:tc>
      </w:tr>
      <w:tr w:rsidR="00C15D6F" w:rsidRPr="0083677E" w14:paraId="7AE917D4"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1BFE9C4E" w14:textId="77777777" w:rsidR="00C15D6F" w:rsidRPr="0083677E" w:rsidRDefault="00C15D6F" w:rsidP="00024FF8">
            <w:pPr>
              <w:pStyle w:val="TableText"/>
            </w:pPr>
          </w:p>
        </w:tc>
        <w:tc>
          <w:tcPr>
            <w:tcW w:w="6660" w:type="dxa"/>
          </w:tcPr>
          <w:p w14:paraId="11BF1044" w14:textId="77777777" w:rsidR="00C15D6F" w:rsidRPr="0083677E" w:rsidRDefault="00C15D6F" w:rsidP="001F7230">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The waste management hierarchy is one of eleven principles of environment protection contained in the </w:t>
            </w:r>
            <w:r w:rsidRPr="0083677E">
              <w:rPr>
                <w:rStyle w:val="CharacterStyle-Italic"/>
              </w:rPr>
              <w:t>Environment Protection Act 1970</w:t>
            </w:r>
            <w:r w:rsidRPr="0083677E">
              <w:t>. The hierarchy is a decision-making framework promoting the avoidance of waste as the most preferred option and disposal as the least. The waste management hierarchy would be considered in all Melbourne Metro activities that generate waste, including avoiding or minimising generation of waste material; and appropriate reuse/recycling where this is not practicable.</w:t>
            </w:r>
          </w:p>
        </w:tc>
        <w:tc>
          <w:tcPr>
            <w:tcW w:w="3654" w:type="dxa"/>
          </w:tcPr>
          <w:p w14:paraId="69DFAF75" w14:textId="77777777" w:rsidR="00C15D6F" w:rsidRPr="0083677E" w:rsidRDefault="00C15D6F" w:rsidP="000370FB">
            <w:pPr>
              <w:pStyle w:val="TableText"/>
              <w:cnfStyle w:val="000000000000" w:firstRow="0" w:lastRow="0" w:firstColumn="0" w:lastColumn="0" w:oddVBand="0" w:evenVBand="0" w:oddHBand="0" w:evenHBand="0" w:firstRowFirstColumn="0" w:firstRowLastColumn="0" w:lastRowFirstColumn="0" w:lastRowLastColumn="0"/>
            </w:pPr>
            <w:r w:rsidRPr="0083677E">
              <w:t>Melbourne Metro would be required to comply with specific criteria derived from relevant policies and guidelines dealing with the management of contaminate</w:t>
            </w:r>
            <w:r w:rsidR="001F7230" w:rsidRPr="0083677E">
              <w:t>d</w:t>
            </w:r>
            <w:r w:rsidRPr="0083677E">
              <w:t xml:space="preserve"> land and waste, including:</w:t>
            </w:r>
          </w:p>
          <w:p w14:paraId="455B0288" w14:textId="7C43A371" w:rsidR="00C15D6F" w:rsidRPr="0083677E" w:rsidRDefault="00C15D6F" w:rsidP="000370FB">
            <w:pPr>
              <w:pStyle w:val="TableBullet1"/>
              <w:cnfStyle w:val="000000000000" w:firstRow="0" w:lastRow="0" w:firstColumn="0" w:lastColumn="0" w:oddVBand="0" w:evenVBand="0" w:oddHBand="0" w:evenHBand="0" w:firstRowFirstColumn="0" w:firstRowLastColumn="0" w:lastRowFirstColumn="0" w:lastRowLastColumn="0"/>
            </w:pPr>
            <w:r w:rsidRPr="0083677E">
              <w:t>SEPP (Prevention and Management of Contamination of Land) 2002 (amended 26 September 2013), known as the ‘Land SEPP’, provides a framework to protect land and its associa</w:t>
            </w:r>
            <w:r w:rsidR="00B03520" w:rsidRPr="0083677E">
              <w:t>ted beneficial uses in Victoria</w:t>
            </w:r>
          </w:p>
          <w:p w14:paraId="4F7CEBE1" w14:textId="016CD99D" w:rsidR="00C15D6F" w:rsidRPr="0083677E" w:rsidRDefault="00C15D6F" w:rsidP="00594B31">
            <w:pPr>
              <w:pStyle w:val="TableText"/>
              <w:numPr>
                <w:ilvl w:val="1"/>
                <w:numId w:val="32"/>
              </w:numPr>
              <w:cnfStyle w:val="000000000000" w:firstRow="0" w:lastRow="0" w:firstColumn="0" w:lastColumn="0" w:oddVBand="0" w:evenVBand="0" w:oddHBand="0" w:evenHBand="0" w:firstRowFirstColumn="0" w:firstRowLastColumn="0" w:lastRowFirstColumn="0" w:lastRowLastColumn="0"/>
            </w:pPr>
            <w:r w:rsidRPr="0083677E">
              <w:t>The SEPP requires occupiers of land to ensure that land is managed to prevent contamination and that disposal or reuse of any material off-site is undertaken in accordance with legislative requirements and</w:t>
            </w:r>
            <w:r w:rsidR="00B03520" w:rsidRPr="0083677E">
              <w:t xml:space="preserve"> procedures approved by the EPA</w:t>
            </w:r>
          </w:p>
          <w:p w14:paraId="0671F3BA" w14:textId="77777777" w:rsidR="00C15D6F" w:rsidRPr="0083677E" w:rsidRDefault="00C15D6F" w:rsidP="005E7A22">
            <w:pPr>
              <w:pStyle w:val="TableBullet1"/>
              <w:cnfStyle w:val="000000000000" w:firstRow="0" w:lastRow="0" w:firstColumn="0" w:lastColumn="0" w:oddVBand="0" w:evenVBand="0" w:oddHBand="0" w:evenHBand="0" w:firstRowFirstColumn="0" w:firstRowLastColumn="0" w:lastRowFirstColumn="0" w:lastRowLastColumn="0"/>
            </w:pPr>
            <w:r w:rsidRPr="0083677E">
              <w:t xml:space="preserve">Industrial Waste Management Policies (IWMPs) prepared under the </w:t>
            </w:r>
            <w:r w:rsidRPr="0083677E">
              <w:rPr>
                <w:rStyle w:val="CharacterStyle-Italic"/>
              </w:rPr>
              <w:t>Environment Protection Act 1970</w:t>
            </w:r>
            <w:r w:rsidRPr="0083677E">
              <w:t xml:space="preserve">. In particular, the IWMP (Waste Acid </w:t>
            </w:r>
            <w:proofErr w:type="spellStart"/>
            <w:r w:rsidRPr="0083677E">
              <w:t>Sulfate</w:t>
            </w:r>
            <w:proofErr w:type="spellEnd"/>
            <w:r w:rsidRPr="0083677E">
              <w:t xml:space="preserve"> Soils) 1999 outlines a framework and specific requirements for the management of acid </w:t>
            </w:r>
            <w:proofErr w:type="spellStart"/>
            <w:r w:rsidRPr="0083677E">
              <w:t>sulfate</w:t>
            </w:r>
            <w:proofErr w:type="spellEnd"/>
            <w:r w:rsidRPr="0083677E">
              <w:t xml:space="preserve"> soils. </w:t>
            </w:r>
          </w:p>
          <w:p w14:paraId="5C9FEA01" w14:textId="77777777" w:rsidR="00C15D6F" w:rsidRPr="0083677E" w:rsidRDefault="00C15D6F" w:rsidP="00594B31">
            <w:pPr>
              <w:pStyle w:val="TableText"/>
              <w:numPr>
                <w:ilvl w:val="1"/>
                <w:numId w:val="32"/>
              </w:numPr>
              <w:cnfStyle w:val="000000000000" w:firstRow="0" w:lastRow="0" w:firstColumn="0" w:lastColumn="0" w:oddVBand="0" w:evenVBand="0" w:oddHBand="0" w:evenHBand="0" w:firstRowFirstColumn="0" w:firstRowLastColumn="0" w:lastRowFirstColumn="0" w:lastRowLastColumn="0"/>
            </w:pPr>
            <w:r w:rsidRPr="0083677E">
              <w:t>EPA works approvals and licenses may be required for the movement and disposal of spoil, depending on the waste classification and proposed spoil management approach.</w:t>
            </w:r>
          </w:p>
          <w:p w14:paraId="7DE1147B" w14:textId="7072C41D" w:rsidR="00C15D6F" w:rsidRPr="0083677E" w:rsidRDefault="00C15D6F" w:rsidP="00594B31">
            <w:pPr>
              <w:pStyle w:val="TableText"/>
              <w:numPr>
                <w:ilvl w:val="1"/>
                <w:numId w:val="32"/>
              </w:numPr>
              <w:cnfStyle w:val="000000000000" w:firstRow="0" w:lastRow="0" w:firstColumn="0" w:lastColumn="0" w:oddVBand="0" w:evenVBand="0" w:oddHBand="0" w:evenHBand="0" w:firstRowFirstColumn="0" w:firstRowLastColumn="0" w:lastRowFirstColumn="0" w:lastRowLastColumn="0"/>
            </w:pPr>
            <w:r w:rsidRPr="0083677E">
              <w:t xml:space="preserve">Off-site disposal of waste acid </w:t>
            </w:r>
            <w:proofErr w:type="spellStart"/>
            <w:r w:rsidR="003E281E" w:rsidRPr="0083677E">
              <w:t>sulfate</w:t>
            </w:r>
            <w:proofErr w:type="spellEnd"/>
            <w:r w:rsidRPr="0083677E">
              <w:t xml:space="preserve"> soils may only occur at premises licensed to take that type of waste or at premises where an EPA-approved EMP is in place.</w:t>
            </w:r>
          </w:p>
        </w:tc>
        <w:tc>
          <w:tcPr>
            <w:tcW w:w="1635" w:type="dxa"/>
          </w:tcPr>
          <w:p w14:paraId="3EDBB702"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20 </w:t>
            </w:r>
            <w:r w:rsidRPr="0083677E">
              <w:rPr>
                <w:rStyle w:val="CharacterStyle-Italic"/>
              </w:rPr>
              <w:t>Contaminated Land and Spoil Management</w:t>
            </w:r>
          </w:p>
          <w:p w14:paraId="0E08992D" w14:textId="77777777" w:rsidR="00C15D6F" w:rsidRPr="0083677E" w:rsidRDefault="00C15D6F"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Q </w:t>
            </w:r>
            <w:r w:rsidRPr="0083677E">
              <w:rPr>
                <w:rStyle w:val="CharacterStyle-Italic"/>
              </w:rPr>
              <w:t>Contaminated Land and Spoil Management</w:t>
            </w:r>
          </w:p>
        </w:tc>
      </w:tr>
      <w:tr w:rsidR="001F7230" w:rsidRPr="0083677E" w14:paraId="36122896"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val="restart"/>
          </w:tcPr>
          <w:p w14:paraId="5B4420F7" w14:textId="77777777" w:rsidR="001F7230" w:rsidRPr="0083677E" w:rsidRDefault="001F7230" w:rsidP="00024FF8">
            <w:pPr>
              <w:pStyle w:val="TableText"/>
              <w:rPr>
                <w:rStyle w:val="CharacterStyle-Bold"/>
              </w:rPr>
            </w:pPr>
            <w:r w:rsidRPr="0083677E">
              <w:rPr>
                <w:rStyle w:val="CharacterStyle-Bold"/>
              </w:rPr>
              <w:lastRenderedPageBreak/>
              <w:t xml:space="preserve">Biodiversity </w:t>
            </w:r>
          </w:p>
          <w:p w14:paraId="5FB194CC" w14:textId="77777777" w:rsidR="001F7230" w:rsidRPr="0083677E" w:rsidRDefault="001F7230" w:rsidP="00024FF8">
            <w:pPr>
              <w:pStyle w:val="TableText"/>
            </w:pPr>
            <w:r w:rsidRPr="0083677E">
              <w:t>– To avoid or minimise adverse effects on native terrestrial and aquatic flora and fauna, in the context of the project’s components and urban setting</w:t>
            </w:r>
          </w:p>
        </w:tc>
        <w:tc>
          <w:tcPr>
            <w:tcW w:w="6660" w:type="dxa"/>
          </w:tcPr>
          <w:p w14:paraId="3AA6339F" w14:textId="7032CD3F" w:rsidR="001F7230" w:rsidRPr="0083677E" w:rsidRDefault="001F7230" w:rsidP="001F7230">
            <w:pPr>
              <w:pStyle w:val="TableText"/>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The </w:t>
            </w:r>
            <w:r w:rsidRPr="0083677E">
              <w:rPr>
                <w:rStyle w:val="CharacterStyle-Italic"/>
              </w:rPr>
              <w:t xml:space="preserve">Flora and Fauna Guarantee Act 1988 </w:t>
            </w:r>
            <w:proofErr w:type="gramStart"/>
            <w:r w:rsidRPr="0083677E">
              <w:t>provides</w:t>
            </w:r>
            <w:proofErr w:type="gramEnd"/>
            <w:r w:rsidRPr="0083677E">
              <w:t xml:space="preserve"> a framework for biodiversity conservation in Victoria. Threatened species and communities of flora and fauna, as well as threatening processes, are listed under this Act. No FFG Act-listed flora or fauna are likely to be present within the proposed project boundary, other than habitat for the Flying Fox and possibly the Powerful Owl. </w:t>
            </w:r>
          </w:p>
        </w:tc>
        <w:tc>
          <w:tcPr>
            <w:tcW w:w="3654" w:type="dxa"/>
            <w:vMerge w:val="restart"/>
          </w:tcPr>
          <w:p w14:paraId="1517289D" w14:textId="3362AFBF" w:rsidR="001F7230" w:rsidRPr="0083677E" w:rsidRDefault="001F7230" w:rsidP="00824AD5">
            <w:pPr>
              <w:pStyle w:val="TableText"/>
              <w:cnfStyle w:val="000000000000" w:firstRow="0" w:lastRow="0" w:firstColumn="0" w:lastColumn="0" w:oddVBand="0" w:evenVBand="0" w:oddHBand="0" w:evenHBand="0" w:firstRowFirstColumn="0" w:firstRowLastColumn="0" w:lastRowFirstColumn="0" w:lastRowLastColumn="0"/>
            </w:pPr>
            <w:r w:rsidRPr="0083677E">
              <w:t>Approval to remove, destroy, or lop native vegetation (with specific exemptions) in Victoria is generally required under Clause 52.17 (Native Vegetation) of the Victoria Planning Provisions. Planning approval may be required if there are any impacts on Exceptional Trees located along Grattan Street within the Parkville station precinct under the provisions of the Environmental Significance Overlay. This would be addressed through the proposed Planning Scheme Amendment.</w:t>
            </w:r>
            <w:r w:rsidR="00AD6031" w:rsidRPr="0083677E">
              <w:t xml:space="preserve"> </w:t>
            </w:r>
          </w:p>
          <w:p w14:paraId="347DDE4F" w14:textId="77777777" w:rsidR="001F7230" w:rsidRPr="0083677E" w:rsidRDefault="001F7230" w:rsidP="00824AD5">
            <w:pPr>
              <w:pStyle w:val="TableText"/>
              <w:cnfStyle w:val="000000000000" w:firstRow="0" w:lastRow="0" w:firstColumn="0" w:lastColumn="0" w:oddVBand="0" w:evenVBand="0" w:oddHBand="0" w:evenHBand="0" w:firstRowFirstColumn="0" w:firstRowLastColumn="0" w:lastRowFirstColumn="0" w:lastRowLastColumn="0"/>
            </w:pPr>
            <w:r w:rsidRPr="0083677E">
              <w:t>Protection, relocation and removal of trees required for the project would be undertaken in accordance with:</w:t>
            </w:r>
          </w:p>
          <w:p w14:paraId="5BC65D48" w14:textId="77777777" w:rsidR="001F7230" w:rsidRPr="0083677E" w:rsidRDefault="001F7230" w:rsidP="00631BA0">
            <w:pPr>
              <w:pStyle w:val="TableBullet1"/>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t xml:space="preserve">City of Melbourne’s </w:t>
            </w:r>
            <w:r w:rsidRPr="0083677E">
              <w:rPr>
                <w:i/>
              </w:rPr>
              <w:t>Urban Forest Strategy</w:t>
            </w:r>
            <w:r w:rsidRPr="0083677E">
              <w:t xml:space="preserve"> and </w:t>
            </w:r>
            <w:r w:rsidRPr="0083677E">
              <w:rPr>
                <w:rStyle w:val="CharacterStyle-Italic"/>
              </w:rPr>
              <w:t>Tree Retention and Removal Policy 2012</w:t>
            </w:r>
          </w:p>
          <w:p w14:paraId="63F5722A" w14:textId="77777777" w:rsidR="001F7230" w:rsidRPr="0083677E" w:rsidRDefault="001F7230" w:rsidP="00631BA0">
            <w:pPr>
              <w:pStyle w:val="TableBullet1"/>
              <w:cnfStyle w:val="000000000000" w:firstRow="0" w:lastRow="0" w:firstColumn="0" w:lastColumn="0" w:oddVBand="0" w:evenVBand="0" w:oddHBand="0" w:evenHBand="0" w:firstRowFirstColumn="0" w:firstRowLastColumn="0" w:lastRowFirstColumn="0" w:lastRowLastColumn="0"/>
              <w:rPr>
                <w:rStyle w:val="CharacterStyle-Italic"/>
                <w:i w:val="0"/>
              </w:rPr>
            </w:pPr>
            <w:r w:rsidRPr="0083677E">
              <w:rPr>
                <w:rStyle w:val="CharacterStyle-Italic"/>
                <w:i w:val="0"/>
              </w:rPr>
              <w:t>City of Port Phillip’s</w:t>
            </w:r>
            <w:r w:rsidRPr="0083677E">
              <w:rPr>
                <w:rStyle w:val="CharacterStyle-Italic"/>
              </w:rPr>
              <w:t xml:space="preserve"> Greening Port Phillip. An Urban Forest Approach 2010</w:t>
            </w:r>
          </w:p>
          <w:p w14:paraId="5A299B62" w14:textId="77777777" w:rsidR="001F7230" w:rsidRPr="0083677E" w:rsidRDefault="001F7230" w:rsidP="00631BA0">
            <w:pPr>
              <w:pStyle w:val="TableBullet1"/>
              <w:cnfStyle w:val="000000000000" w:firstRow="0" w:lastRow="0" w:firstColumn="0" w:lastColumn="0" w:oddVBand="0" w:evenVBand="0" w:oddHBand="0" w:evenHBand="0" w:firstRowFirstColumn="0" w:firstRowLastColumn="0" w:lastRowFirstColumn="0" w:lastRowLastColumn="0"/>
            </w:pPr>
            <w:r w:rsidRPr="0083677E">
              <w:rPr>
                <w:rStyle w:val="CharacterStyle-Italic"/>
                <w:i w:val="0"/>
              </w:rPr>
              <w:t xml:space="preserve">City of </w:t>
            </w:r>
            <w:proofErr w:type="spellStart"/>
            <w:r w:rsidRPr="0083677E">
              <w:rPr>
                <w:rStyle w:val="CharacterStyle-Italic"/>
                <w:i w:val="0"/>
              </w:rPr>
              <w:t>Stonnington’s</w:t>
            </w:r>
            <w:proofErr w:type="spellEnd"/>
            <w:r w:rsidRPr="0083677E">
              <w:rPr>
                <w:rStyle w:val="CharacterStyle-Italic"/>
              </w:rPr>
              <w:t xml:space="preserve"> General Local Law 2008 (No.1)</w:t>
            </w:r>
          </w:p>
          <w:p w14:paraId="093AEE8C" w14:textId="77777777" w:rsidR="001F7230" w:rsidRPr="0083677E" w:rsidRDefault="001F7230" w:rsidP="00631BA0">
            <w:pPr>
              <w:pStyle w:val="TableBullet1"/>
              <w:cnfStyle w:val="000000000000" w:firstRow="0" w:lastRow="0" w:firstColumn="0" w:lastColumn="0" w:oddVBand="0" w:evenVBand="0" w:oddHBand="0" w:evenHBand="0" w:firstRowFirstColumn="0" w:firstRowLastColumn="0" w:lastRowFirstColumn="0" w:lastRowLastColumn="0"/>
            </w:pPr>
            <w:r w:rsidRPr="0083677E">
              <w:t>Memorandum of Understanding for Native Vegetation Offsets (Victorian Government), 2010.</w:t>
            </w:r>
          </w:p>
        </w:tc>
        <w:tc>
          <w:tcPr>
            <w:tcW w:w="1635" w:type="dxa"/>
            <w:vMerge w:val="restart"/>
          </w:tcPr>
          <w:p w14:paraId="34DE3293" w14:textId="77777777" w:rsidR="001F7230" w:rsidRPr="0083677E" w:rsidRDefault="001F7230"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Chapter 21 </w:t>
            </w:r>
            <w:r w:rsidRPr="0083677E">
              <w:rPr>
                <w:rStyle w:val="CharacterStyle-Italic"/>
              </w:rPr>
              <w:t>Biodiversity</w:t>
            </w:r>
          </w:p>
          <w:p w14:paraId="4B46F057" w14:textId="77777777" w:rsidR="001F7230" w:rsidRPr="0083677E" w:rsidRDefault="001F7230"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R </w:t>
            </w:r>
            <w:r w:rsidRPr="0083677E">
              <w:rPr>
                <w:rStyle w:val="CharacterStyle-Italic"/>
              </w:rPr>
              <w:t>Arboriculture (1)</w:t>
            </w:r>
          </w:p>
          <w:p w14:paraId="7B7F299F" w14:textId="77777777" w:rsidR="001F7230" w:rsidRPr="0083677E" w:rsidRDefault="001F7230"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S </w:t>
            </w:r>
            <w:r w:rsidRPr="0083677E">
              <w:rPr>
                <w:rStyle w:val="CharacterStyle-Italic"/>
              </w:rPr>
              <w:t>Arboriculture (2)</w:t>
            </w:r>
          </w:p>
          <w:p w14:paraId="586CA7CE" w14:textId="77777777" w:rsidR="001F7230" w:rsidRPr="0083677E" w:rsidRDefault="001F7230"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T </w:t>
            </w:r>
            <w:r w:rsidRPr="0083677E">
              <w:rPr>
                <w:rStyle w:val="CharacterStyle-Italic"/>
              </w:rPr>
              <w:t>Terrestrial Flora and Fauna</w:t>
            </w:r>
          </w:p>
          <w:p w14:paraId="5B6E6B2B" w14:textId="77777777" w:rsidR="001F7230" w:rsidRPr="0083677E" w:rsidRDefault="001F7230" w:rsidP="00614370">
            <w:pPr>
              <w:pStyle w:val="TableText"/>
              <w:cnfStyle w:val="000000000000" w:firstRow="0" w:lastRow="0" w:firstColumn="0" w:lastColumn="0" w:oddVBand="0" w:evenVBand="0" w:oddHBand="0" w:evenHBand="0" w:firstRowFirstColumn="0" w:firstRowLastColumn="0" w:lastRowFirstColumn="0" w:lastRowLastColumn="0"/>
            </w:pPr>
            <w:r w:rsidRPr="0083677E">
              <w:t xml:space="preserve">Technical Appendix U </w:t>
            </w:r>
            <w:r w:rsidRPr="0083677E">
              <w:rPr>
                <w:rStyle w:val="CharacterStyle-Italic"/>
              </w:rPr>
              <w:t>Aquatic Flora and Fauna and River Health</w:t>
            </w:r>
            <w:r w:rsidRPr="0083677E">
              <w:t xml:space="preserve"> </w:t>
            </w:r>
          </w:p>
        </w:tc>
      </w:tr>
      <w:tr w:rsidR="001F7230" w:rsidRPr="0083677E" w14:paraId="03936397"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71ABE5C5" w14:textId="77777777" w:rsidR="001F7230" w:rsidRPr="0083677E" w:rsidRDefault="001F7230" w:rsidP="00024FF8">
            <w:pPr>
              <w:pStyle w:val="TableText"/>
              <w:rPr>
                <w:rStyle w:val="CharacterStyle-Bold"/>
              </w:rPr>
            </w:pPr>
          </w:p>
        </w:tc>
        <w:tc>
          <w:tcPr>
            <w:tcW w:w="6660" w:type="dxa"/>
          </w:tcPr>
          <w:p w14:paraId="6A9AAA41" w14:textId="4AF4388B" w:rsidR="001F7230" w:rsidRPr="0083677E" w:rsidRDefault="001F7230">
            <w:pPr>
              <w:pStyle w:val="TableText"/>
              <w:cnfStyle w:val="000000000000" w:firstRow="0" w:lastRow="0" w:firstColumn="0" w:lastColumn="0" w:oddVBand="0" w:evenVBand="0" w:oddHBand="0" w:evenHBand="0" w:firstRowFirstColumn="0" w:firstRowLastColumn="0" w:lastRowFirstColumn="0" w:lastRowLastColumn="0"/>
              <w:rPr>
                <w:i/>
              </w:rPr>
            </w:pPr>
            <w:r w:rsidRPr="0083677E">
              <w:t xml:space="preserve">Planning schemes require planning approval to remove, destroy or lop native vegetation (with some exceptions). The removal of any native vegetation required by Melbourne Metro would be subject to the requirements of the </w:t>
            </w:r>
            <w:r w:rsidRPr="0083677E">
              <w:rPr>
                <w:rStyle w:val="CharacterStyle-Italic"/>
              </w:rPr>
              <w:t>Permitted Clearing of Native Vegetation – Biodiversity Assessment Guidelines</w:t>
            </w:r>
            <w:r w:rsidRPr="0083677E">
              <w:t>.</w:t>
            </w:r>
          </w:p>
        </w:tc>
        <w:tc>
          <w:tcPr>
            <w:tcW w:w="3654" w:type="dxa"/>
            <w:vMerge/>
          </w:tcPr>
          <w:p w14:paraId="4A826AD6" w14:textId="77777777" w:rsidR="001F7230" w:rsidRPr="0083677E" w:rsidRDefault="001F7230" w:rsidP="00824AD5">
            <w:pPr>
              <w:pStyle w:val="TableText"/>
              <w:cnfStyle w:val="000000000000" w:firstRow="0" w:lastRow="0" w:firstColumn="0" w:lastColumn="0" w:oddVBand="0" w:evenVBand="0" w:oddHBand="0" w:evenHBand="0" w:firstRowFirstColumn="0" w:firstRowLastColumn="0" w:lastRowFirstColumn="0" w:lastRowLastColumn="0"/>
            </w:pPr>
          </w:p>
        </w:tc>
        <w:tc>
          <w:tcPr>
            <w:tcW w:w="1635" w:type="dxa"/>
            <w:vMerge/>
          </w:tcPr>
          <w:p w14:paraId="08496AD0" w14:textId="77777777" w:rsidR="001F7230" w:rsidRPr="0083677E" w:rsidRDefault="001F7230" w:rsidP="00614370">
            <w:pPr>
              <w:pStyle w:val="TableText"/>
              <w:cnfStyle w:val="000000000000" w:firstRow="0" w:lastRow="0" w:firstColumn="0" w:lastColumn="0" w:oddVBand="0" w:evenVBand="0" w:oddHBand="0" w:evenHBand="0" w:firstRowFirstColumn="0" w:firstRowLastColumn="0" w:lastRowFirstColumn="0" w:lastRowLastColumn="0"/>
            </w:pPr>
          </w:p>
        </w:tc>
      </w:tr>
      <w:tr w:rsidR="001F7230" w:rsidRPr="0083677E" w14:paraId="0471062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2269" w:type="dxa"/>
            <w:vMerge/>
          </w:tcPr>
          <w:p w14:paraId="486049E8" w14:textId="77777777" w:rsidR="001F7230" w:rsidRPr="0083677E" w:rsidRDefault="001F7230" w:rsidP="00024FF8">
            <w:pPr>
              <w:pStyle w:val="TableText"/>
              <w:rPr>
                <w:rStyle w:val="CharacterStyle-Bold"/>
              </w:rPr>
            </w:pPr>
          </w:p>
        </w:tc>
        <w:tc>
          <w:tcPr>
            <w:tcW w:w="6660" w:type="dxa"/>
          </w:tcPr>
          <w:p w14:paraId="31003002" w14:textId="68557F7A" w:rsidR="001F7230" w:rsidRPr="0083677E" w:rsidRDefault="001F7230">
            <w:pPr>
              <w:pStyle w:val="TableText"/>
              <w:cnfStyle w:val="000000000000" w:firstRow="0" w:lastRow="0" w:firstColumn="0" w:lastColumn="0" w:oddVBand="0" w:evenVBand="0" w:oddHBand="0" w:evenHBand="0" w:firstRowFirstColumn="0" w:firstRowLastColumn="0" w:lastRowFirstColumn="0" w:lastRowLastColumn="0"/>
            </w:pPr>
            <w:r w:rsidRPr="0083677E">
              <w:t>The</w:t>
            </w:r>
            <w:r w:rsidR="00DD241D">
              <w:t xml:space="preserve"> EPBC Act</w:t>
            </w:r>
            <w:r w:rsidRPr="0083677E">
              <w:t xml:space="preserve"> states that ‘controlled’ actions (actions that are likely to have a significant impact on a Matter of National Environmental Significance) are subject to a stringent assessment and approval process. No approval is required for Melbourne M</w:t>
            </w:r>
            <w:r w:rsidR="00C36150" w:rsidRPr="0083677E">
              <w:t>e</w:t>
            </w:r>
            <w:r w:rsidRPr="0083677E">
              <w:t>tro under the EPBC Act, as long as it is undertaken in the particular manner set out in the Commonwealth Government’s referral decision of 22 September 2015 (see Section 1.6 in Chapter 1).</w:t>
            </w:r>
          </w:p>
        </w:tc>
        <w:tc>
          <w:tcPr>
            <w:tcW w:w="3654" w:type="dxa"/>
            <w:vMerge/>
          </w:tcPr>
          <w:p w14:paraId="6F3E97B0" w14:textId="77777777" w:rsidR="001F7230" w:rsidRPr="0083677E" w:rsidRDefault="001F7230" w:rsidP="00824AD5">
            <w:pPr>
              <w:pStyle w:val="TableText"/>
              <w:cnfStyle w:val="000000000000" w:firstRow="0" w:lastRow="0" w:firstColumn="0" w:lastColumn="0" w:oddVBand="0" w:evenVBand="0" w:oddHBand="0" w:evenHBand="0" w:firstRowFirstColumn="0" w:firstRowLastColumn="0" w:lastRowFirstColumn="0" w:lastRowLastColumn="0"/>
            </w:pPr>
          </w:p>
        </w:tc>
        <w:tc>
          <w:tcPr>
            <w:tcW w:w="1635" w:type="dxa"/>
            <w:vMerge/>
          </w:tcPr>
          <w:p w14:paraId="4F4E2868" w14:textId="77777777" w:rsidR="001F7230" w:rsidRPr="0083677E" w:rsidRDefault="001F7230" w:rsidP="00614370">
            <w:pPr>
              <w:pStyle w:val="TableText"/>
              <w:cnfStyle w:val="000000000000" w:firstRow="0" w:lastRow="0" w:firstColumn="0" w:lastColumn="0" w:oddVBand="0" w:evenVBand="0" w:oddHBand="0" w:evenHBand="0" w:firstRowFirstColumn="0" w:firstRowLastColumn="0" w:lastRowFirstColumn="0" w:lastRowLastColumn="0"/>
            </w:pPr>
          </w:p>
        </w:tc>
      </w:tr>
    </w:tbl>
    <w:p w14:paraId="7F060757" w14:textId="77777777" w:rsidR="00024FF8" w:rsidRPr="0083677E" w:rsidRDefault="00024FF8" w:rsidP="00D94D81">
      <w:pPr>
        <w:pStyle w:val="BodyText"/>
      </w:pPr>
    </w:p>
    <w:p w14:paraId="25549A81" w14:textId="77777777" w:rsidR="00024FF8" w:rsidRPr="0083677E" w:rsidRDefault="00024FF8" w:rsidP="00D94D81">
      <w:pPr>
        <w:pStyle w:val="BodyText"/>
        <w:sectPr w:rsidR="00024FF8" w:rsidRPr="0083677E" w:rsidSect="006832F9">
          <w:footerReference w:type="even" r:id="rId16"/>
          <w:footerReference w:type="default" r:id="rId17"/>
          <w:footnotePr>
            <w:numFmt w:val="chicago"/>
            <w:numRestart w:val="eachPage"/>
          </w:footnotePr>
          <w:pgSz w:w="16838" w:h="11906" w:orient="landscape" w:code="9"/>
          <w:pgMar w:top="1701" w:right="1418" w:bottom="1701" w:left="1418" w:header="567" w:footer="567" w:gutter="0"/>
          <w:pgNumType w:chapStyle="1" w:chapSep="enDash"/>
          <w:cols w:space="708"/>
          <w:docGrid w:linePitch="360"/>
        </w:sectPr>
      </w:pPr>
    </w:p>
    <w:p w14:paraId="39B8111E" w14:textId="77777777" w:rsidR="00D94D81" w:rsidRPr="0083677E" w:rsidRDefault="00D94D81" w:rsidP="003E281E">
      <w:pPr>
        <w:pStyle w:val="Heading2"/>
        <w:spacing w:before="0"/>
      </w:pPr>
      <w:bookmarkStart w:id="9" w:name="_Toc450894355"/>
      <w:r w:rsidRPr="0083677E">
        <w:lastRenderedPageBreak/>
        <w:t>Approach to EES Specialist Studies</w:t>
      </w:r>
      <w:bookmarkEnd w:id="9"/>
    </w:p>
    <w:p w14:paraId="20180F1C" w14:textId="576397DA" w:rsidR="00D94D81" w:rsidRPr="0083677E" w:rsidRDefault="00D94D81" w:rsidP="00DE310E">
      <w:pPr>
        <w:pStyle w:val="BodyText"/>
      </w:pPr>
      <w:r w:rsidRPr="0083677E">
        <w:t>Specialist studies were undertaken to address every item covered in the draft EES evaluation objectives</w:t>
      </w:r>
      <w:r w:rsidR="001F7230" w:rsidRPr="0083677E">
        <w:t xml:space="preserve">. </w:t>
      </w:r>
      <w:r w:rsidRPr="0083677E">
        <w:t xml:space="preserve">Baseline studies were completed to </w:t>
      </w:r>
      <w:r w:rsidR="0030118B" w:rsidRPr="0083677E">
        <w:t>identify relevant standards and/or</w:t>
      </w:r>
      <w:r w:rsidR="00AD6031" w:rsidRPr="0083677E">
        <w:t xml:space="preserve"> </w:t>
      </w:r>
      <w:r w:rsidR="0030118B" w:rsidRPr="0083677E">
        <w:t>specific</w:t>
      </w:r>
      <w:r w:rsidRPr="0083677E">
        <w:t xml:space="preserve"> criteria, and to identify the assets and values present </w:t>
      </w:r>
      <w:r w:rsidR="001F7230" w:rsidRPr="0083677E">
        <w:t>with</w:t>
      </w:r>
      <w:r w:rsidRPr="0083677E">
        <w:t xml:space="preserve">in the proposed </w:t>
      </w:r>
      <w:r w:rsidR="001F7230" w:rsidRPr="0083677E">
        <w:t>p</w:t>
      </w:r>
      <w:r w:rsidRPr="0083677E">
        <w:t>roject boundary</w:t>
      </w:r>
      <w:r w:rsidR="00C10BE1">
        <w:t xml:space="preserve"> that would be affected by the project.</w:t>
      </w:r>
    </w:p>
    <w:p w14:paraId="560859B2" w14:textId="4E3BB42E" w:rsidR="00D94D81" w:rsidRPr="0083677E" w:rsidRDefault="00D94D81" w:rsidP="00D94D81">
      <w:pPr>
        <w:pStyle w:val="BodyText"/>
      </w:pPr>
      <w:r w:rsidRPr="0083677E">
        <w:t xml:space="preserve">A risk assessment was used to identify high risk activities and </w:t>
      </w:r>
      <w:r w:rsidR="001F7230" w:rsidRPr="0083677E">
        <w:t xml:space="preserve">to </w:t>
      </w:r>
      <w:r w:rsidRPr="0083677E">
        <w:t xml:space="preserve">focus the impact assessment on those activities that presented the most significant risks and impacts to the assets and values identified. </w:t>
      </w:r>
      <w:r w:rsidR="00514D82" w:rsidRPr="0083677E">
        <w:t xml:space="preserve">In a number of instances where initial risks were found to be </w:t>
      </w:r>
      <w:r w:rsidR="001F7230" w:rsidRPr="0083677E">
        <w:t xml:space="preserve">‘low’ </w:t>
      </w:r>
      <w:r w:rsidR="00514D82" w:rsidRPr="0083677E">
        <w:t xml:space="preserve">or </w:t>
      </w:r>
      <w:r w:rsidR="001F7230" w:rsidRPr="0083677E">
        <w:t>‘v</w:t>
      </w:r>
      <w:r w:rsidR="00514D82" w:rsidRPr="0083677E">
        <w:t xml:space="preserve">ery </w:t>
      </w:r>
      <w:r w:rsidR="001F7230" w:rsidRPr="0083677E">
        <w:t>l</w:t>
      </w:r>
      <w:r w:rsidR="00514D82" w:rsidRPr="0083677E">
        <w:t>ow</w:t>
      </w:r>
      <w:r w:rsidR="001F7230" w:rsidRPr="0083677E">
        <w:t>’</w:t>
      </w:r>
      <w:r w:rsidR="00514D82" w:rsidRPr="0083677E">
        <w:t xml:space="preserve">, those risks were nevertheless investigated to test the risk assessment findings and satisfy the Scoping Requirements. </w:t>
      </w:r>
      <w:r w:rsidRPr="0083677E">
        <w:t xml:space="preserve">The risk assessment consequence ratings were informed by specific </w:t>
      </w:r>
      <w:r w:rsidR="0030118B" w:rsidRPr="0083677E">
        <w:t xml:space="preserve">consequence </w:t>
      </w:r>
      <w:r w:rsidRPr="0083677E">
        <w:t xml:space="preserve">criteria developed for each specialist study. The approach to the risk assessment is described </w:t>
      </w:r>
      <w:r w:rsidR="001F7230" w:rsidRPr="0083677E">
        <w:t xml:space="preserve">further </w:t>
      </w:r>
      <w:r w:rsidRPr="0083677E">
        <w:t xml:space="preserve">in Section </w:t>
      </w:r>
      <w:r w:rsidR="008F14A1" w:rsidRPr="0083677E">
        <w:fldChar w:fldCharType="begin"/>
      </w:r>
      <w:r w:rsidR="008F14A1" w:rsidRPr="0083677E">
        <w:instrText xml:space="preserve"> REF _Ref447240863 \w \h </w:instrText>
      </w:r>
      <w:r w:rsidR="008F14A1" w:rsidRPr="0083677E">
        <w:fldChar w:fldCharType="separate"/>
      </w:r>
      <w:r w:rsidR="005A6DF0">
        <w:rPr>
          <w:cs/>
        </w:rPr>
        <w:t>‎</w:t>
      </w:r>
      <w:r w:rsidR="005A6DF0">
        <w:t>4.5</w:t>
      </w:r>
      <w:r w:rsidR="008F14A1" w:rsidRPr="0083677E">
        <w:fldChar w:fldCharType="end"/>
      </w:r>
      <w:r w:rsidRPr="0083677E">
        <w:t>.</w:t>
      </w:r>
    </w:p>
    <w:p w14:paraId="75887FAD" w14:textId="553693CF" w:rsidR="00515CA0" w:rsidRDefault="00D94D81">
      <w:pPr>
        <w:pStyle w:val="BodyText"/>
        <w:rPr>
          <w:rStyle w:val="CharacterStyle-Highlight"/>
          <w:shd w:val="clear" w:color="auto" w:fill="auto"/>
        </w:rPr>
      </w:pPr>
      <w:r w:rsidRPr="0083677E">
        <w:t xml:space="preserve">The specialist studies then evaluated the impact of the identified risks by considering the significance of the asset or value </w:t>
      </w:r>
      <w:proofErr w:type="gramStart"/>
      <w:r w:rsidRPr="0083677E">
        <w:t>impacted</w:t>
      </w:r>
      <w:r w:rsidR="001F7230" w:rsidRPr="0083677E">
        <w:t>,</w:t>
      </w:r>
      <w:proofErr w:type="gramEnd"/>
      <w:r w:rsidRPr="0083677E">
        <w:t xml:space="preserve"> management measures that could be put in place to reduce the risks, the ability of the asset or value to recover and the significance of the impact. The impact assessments drew conclusions about the </w:t>
      </w:r>
      <w:r w:rsidR="0030118B" w:rsidRPr="0083677E">
        <w:t>net</w:t>
      </w:r>
      <w:r w:rsidRPr="0083677E">
        <w:t xml:space="preserve"> effect</w:t>
      </w:r>
      <w:r w:rsidR="0030118B" w:rsidRPr="0083677E">
        <w:t xml:space="preserve"> (with mitigation)</w:t>
      </w:r>
      <w:r w:rsidRPr="0083677E">
        <w:t xml:space="preserve"> of the activity</w:t>
      </w:r>
      <w:r w:rsidR="0030118B" w:rsidRPr="0083677E">
        <w:t>, considering</w:t>
      </w:r>
      <w:r w:rsidRPr="0083677E">
        <w:t xml:space="preserve"> the</w:t>
      </w:r>
      <w:r w:rsidR="009F548D" w:rsidRPr="0083677E">
        <w:t xml:space="preserve"> </w:t>
      </w:r>
      <w:r w:rsidRPr="0083677E">
        <w:t>relevant draft EES evaluation</w:t>
      </w:r>
      <w:r w:rsidR="00EE1C50" w:rsidRPr="0083677E">
        <w:t> </w:t>
      </w:r>
      <w:r w:rsidRPr="0083677E">
        <w:t>objective</w:t>
      </w:r>
      <w:r w:rsidR="009F548D" w:rsidRPr="0083677E">
        <w:t>s</w:t>
      </w:r>
      <w:r w:rsidR="009F548D" w:rsidRPr="0083677E">
        <w:rPr>
          <w:rStyle w:val="CharacterStyle-Highlight"/>
          <w:shd w:val="clear" w:color="auto" w:fill="auto"/>
        </w:rPr>
        <w:t>.</w:t>
      </w:r>
    </w:p>
    <w:p w14:paraId="698D64FF" w14:textId="77777777" w:rsidR="00C10BE1" w:rsidRPr="00594B31" w:rsidDel="008667CA" w:rsidRDefault="00C10BE1" w:rsidP="00C10BE1">
      <w:pPr>
        <w:pStyle w:val="BodyText"/>
      </w:pPr>
      <w:r w:rsidRPr="00594B31" w:rsidDel="008667CA">
        <w:t xml:space="preserve">Importantly, an environmental risk is different from an environmental impact. Risk is a function of the likelihood of an adverse event occurring and the consequence of the event, whereas, impact relates to the outcome of an action in relation to values of a resource or sensitivity of a receptor. Benefits are considered in impact assessment but not in risk assessment. An impact assessment must be informed by a risk assessment so that the level of action to manage an impact relates to the likelihood of an adverse impact occurring. </w:t>
      </w:r>
    </w:p>
    <w:p w14:paraId="0D5B3F8A" w14:textId="269DA8ED" w:rsidR="00515CA0" w:rsidRPr="0083677E" w:rsidRDefault="00D94D81" w:rsidP="008A342C">
      <w:pPr>
        <w:pStyle w:val="BodyText"/>
      </w:pPr>
      <w:r w:rsidRPr="0083677E">
        <w:t xml:space="preserve">A performance based approach is being adopted for the delivery of </w:t>
      </w:r>
      <w:r w:rsidR="00615371" w:rsidRPr="0083677E">
        <w:t>Melbourne Metro</w:t>
      </w:r>
      <w:r w:rsidRPr="0083677E">
        <w:t xml:space="preserve">. Therefore, the management measures that are the basis of the Environmental Management Framework outlined in this EES are expressed as recommended Environmental Performance Requirements. Rather than specify the management measure to be undertaken to minimise the impact, the outcome that must be achieved is identified in the Environmental Management Framework. </w:t>
      </w:r>
      <w:r w:rsidR="00615371" w:rsidRPr="0083677E">
        <w:t xml:space="preserve">The Environmental Performance Requirements would also manage </w:t>
      </w:r>
      <w:r w:rsidR="00515CA0" w:rsidRPr="0083677E">
        <w:t xml:space="preserve">the </w:t>
      </w:r>
      <w:r w:rsidR="00615371" w:rsidRPr="0083677E">
        <w:t xml:space="preserve">potential impacts of any changes to the </w:t>
      </w:r>
      <w:r w:rsidR="00515CA0" w:rsidRPr="0083677E">
        <w:t>C</w:t>
      </w:r>
      <w:r w:rsidR="00615371" w:rsidRPr="0083677E">
        <w:t xml:space="preserve">oncept </w:t>
      </w:r>
      <w:r w:rsidR="00515CA0" w:rsidRPr="0083677E">
        <w:t>D</w:t>
      </w:r>
      <w:r w:rsidR="00615371" w:rsidRPr="0083677E">
        <w:t xml:space="preserve">esign within the proposed project boundary, which may be required during the next stage of detailed design and delivery. </w:t>
      </w:r>
    </w:p>
    <w:p w14:paraId="00A1571F" w14:textId="09665395" w:rsidR="00615371" w:rsidRPr="0083677E" w:rsidRDefault="00D94D81" w:rsidP="00D94D81">
      <w:pPr>
        <w:pStyle w:val="BodyText"/>
      </w:pPr>
      <w:r w:rsidRPr="0083677E">
        <w:t xml:space="preserve">Where required, the Environmental Performance Requirements are precinct-specific and require compliance with relevant legislation, </w:t>
      </w:r>
      <w:r w:rsidR="00515CA0" w:rsidRPr="0083677E">
        <w:t xml:space="preserve">policies and </w:t>
      </w:r>
      <w:r w:rsidRPr="0083677E">
        <w:t>guidelines.</w:t>
      </w:r>
    </w:p>
    <w:p w14:paraId="487BC128" w14:textId="77777777" w:rsidR="00D94D81" w:rsidRPr="0083677E" w:rsidRDefault="00D94D81" w:rsidP="00FB7509">
      <w:pPr>
        <w:pStyle w:val="Heading2"/>
      </w:pPr>
      <w:bookmarkStart w:id="10" w:name="_Ref447240863"/>
      <w:bookmarkStart w:id="11" w:name="_Ref447240885"/>
      <w:bookmarkStart w:id="12" w:name="_Toc450894356"/>
      <w:r w:rsidRPr="0083677E">
        <w:lastRenderedPageBreak/>
        <w:t>Environmental Risk Assessment</w:t>
      </w:r>
      <w:bookmarkEnd w:id="10"/>
      <w:bookmarkEnd w:id="11"/>
      <w:bookmarkEnd w:id="12"/>
    </w:p>
    <w:p w14:paraId="4EAE021C" w14:textId="33468C1E" w:rsidR="00D94D81" w:rsidRPr="0083677E" w:rsidRDefault="00D94D81" w:rsidP="00D60FF7">
      <w:pPr>
        <w:pStyle w:val="BodyText"/>
      </w:pPr>
      <w:r w:rsidRPr="0083677E">
        <w:t>The objective of the environmental risk assessment was to identify key social, environmental</w:t>
      </w:r>
      <w:r w:rsidR="00467F30" w:rsidRPr="0083677E">
        <w:t>, transport</w:t>
      </w:r>
      <w:r w:rsidRPr="0083677E">
        <w:t xml:space="preserve"> and business risks associated with construction and operation of </w:t>
      </w:r>
      <w:r w:rsidR="00467F30" w:rsidRPr="0083677E">
        <w:t>Melbourne Metro</w:t>
      </w:r>
      <w:r w:rsidRPr="0083677E">
        <w:t xml:space="preserve"> and to </w:t>
      </w:r>
      <w:r w:rsidR="00467F30" w:rsidRPr="0083677E">
        <w:t xml:space="preserve">identify possible </w:t>
      </w:r>
      <w:r w:rsidRPr="0083677E">
        <w:t>management and mitigation measures to reduce these risks</w:t>
      </w:r>
      <w:r w:rsidR="00467F30" w:rsidRPr="0083677E">
        <w:t xml:space="preserve">, which would inform the development of </w:t>
      </w:r>
      <w:r w:rsidR="00D60FF7" w:rsidRPr="0083677E">
        <w:t xml:space="preserve">recommended </w:t>
      </w:r>
      <w:r w:rsidR="00467F30" w:rsidRPr="0083677E">
        <w:t>Environmental Performance Requirements</w:t>
      </w:r>
      <w:r w:rsidRPr="0083677E">
        <w:t>.</w:t>
      </w:r>
    </w:p>
    <w:p w14:paraId="0493B934" w14:textId="77777777" w:rsidR="00D94D81" w:rsidRPr="0083677E" w:rsidRDefault="00D94D81" w:rsidP="00D60FF7">
      <w:pPr>
        <w:pStyle w:val="BodyText"/>
      </w:pPr>
      <w:r w:rsidRPr="0083677E">
        <w:t xml:space="preserve">A summary of the risk assessment process, and its relationship with the impact assessment process, is provided in </w:t>
      </w:r>
      <w:r w:rsidR="00EE2E47" w:rsidRPr="0083677E">
        <w:fldChar w:fldCharType="begin"/>
      </w:r>
      <w:r w:rsidR="00614370" w:rsidRPr="0083677E">
        <w:instrText xml:space="preserve"> REF _Ref444208878 \h </w:instrText>
      </w:r>
      <w:r w:rsidR="00EE2E47" w:rsidRPr="0083677E">
        <w:fldChar w:fldCharType="separate"/>
      </w:r>
      <w:r w:rsidR="005A6DF0" w:rsidRPr="0083677E">
        <w:t>Figure </w:t>
      </w:r>
      <w:r w:rsidR="005A6DF0">
        <w:rPr>
          <w:noProof/>
          <w:cs/>
        </w:rPr>
        <w:t>‎</w:t>
      </w:r>
      <w:r w:rsidR="005A6DF0">
        <w:rPr>
          <w:noProof/>
        </w:rPr>
        <w:t>4</w:t>
      </w:r>
      <w:r w:rsidR="005A6DF0" w:rsidRPr="0083677E">
        <w:noBreakHyphen/>
      </w:r>
      <w:r w:rsidR="005A6DF0">
        <w:rPr>
          <w:noProof/>
        </w:rPr>
        <w:t>2</w:t>
      </w:r>
      <w:r w:rsidR="00EE2E47" w:rsidRPr="0083677E">
        <w:fldChar w:fldCharType="end"/>
      </w:r>
      <w:r w:rsidRPr="0083677E">
        <w:t>. The process was based upon AS/NZS IS0 31000:2009: Risk Management.</w:t>
      </w:r>
    </w:p>
    <w:p w14:paraId="3234A8E1" w14:textId="77777777" w:rsidR="00D94D81" w:rsidRPr="0083677E" w:rsidRDefault="00D94D81" w:rsidP="00D60FF7">
      <w:pPr>
        <w:pStyle w:val="BodyText"/>
      </w:pPr>
      <w:r w:rsidRPr="0083677E">
        <w:t xml:space="preserve">A copy of the Environmental Risk Assessment Report (Risk Register) is provided in </w:t>
      </w:r>
      <w:r w:rsidR="00467F30" w:rsidRPr="0083677E">
        <w:t xml:space="preserve">Technical </w:t>
      </w:r>
      <w:r w:rsidRPr="0083677E">
        <w:t>Appendix B.</w:t>
      </w:r>
    </w:p>
    <w:p w14:paraId="293F80ED" w14:textId="2E6D2806" w:rsidR="00D94D81" w:rsidRPr="0083677E" w:rsidRDefault="00614370" w:rsidP="00614370">
      <w:pPr>
        <w:pStyle w:val="Caption"/>
      </w:pPr>
      <w:bookmarkStart w:id="13" w:name="_Ref444208878"/>
      <w:r w:rsidRPr="0083677E">
        <w:t>Figure </w:t>
      </w:r>
      <w:r w:rsidR="00E920FA">
        <w:fldChar w:fldCharType="begin"/>
      </w:r>
      <w:r w:rsidR="00E920FA">
        <w:instrText xml:space="preserve"> STYLEREF </w:instrText>
      </w:r>
      <w:r w:rsidR="00E920FA">
        <w:instrText xml:space="preserve">1 \s </w:instrText>
      </w:r>
      <w:r w:rsidR="00E920FA">
        <w:fldChar w:fldCharType="separate"/>
      </w:r>
      <w:r w:rsidR="005A6DF0">
        <w:rPr>
          <w:noProof/>
          <w:cs/>
        </w:rPr>
        <w:t>‎</w:t>
      </w:r>
      <w:r w:rsidR="005A6DF0">
        <w:rPr>
          <w:noProof/>
        </w:rPr>
        <w:t>4</w:t>
      </w:r>
      <w:r w:rsidR="00E920FA">
        <w:rPr>
          <w:noProof/>
        </w:rPr>
        <w:fldChar w:fldCharType="end"/>
      </w:r>
      <w:r w:rsidRPr="0083677E">
        <w:noBreakHyphen/>
      </w:r>
      <w:r w:rsidR="00E920FA">
        <w:fldChar w:fldCharType="begin"/>
      </w:r>
      <w:r w:rsidR="00E920FA">
        <w:instrText xml:space="preserve"> SEQ Figure \* ARABIC \s 1 </w:instrText>
      </w:r>
      <w:r w:rsidR="00E920FA">
        <w:fldChar w:fldCharType="separate"/>
      </w:r>
      <w:r w:rsidR="005A6DF0">
        <w:rPr>
          <w:noProof/>
        </w:rPr>
        <w:t>2</w:t>
      </w:r>
      <w:r w:rsidR="00E920FA">
        <w:rPr>
          <w:noProof/>
        </w:rPr>
        <w:fldChar w:fldCharType="end"/>
      </w:r>
      <w:bookmarkEnd w:id="13"/>
      <w:r w:rsidRPr="0083677E">
        <w:tab/>
      </w:r>
      <w:r w:rsidR="00D94D81" w:rsidRPr="0083677E">
        <w:t>Risk and impact assessment process</w:t>
      </w:r>
    </w:p>
    <w:p w14:paraId="3B935CA2" w14:textId="33085A71" w:rsidR="002A4734" w:rsidRPr="0083677E" w:rsidRDefault="00AC6453" w:rsidP="008476AC">
      <w:pPr>
        <w:pStyle w:val="ObjectWide"/>
        <w:ind w:left="-1560"/>
      </w:pPr>
      <w:r>
        <w:drawing>
          <wp:inline distT="0" distB="0" distL="0" distR="0" wp14:anchorId="5FD6AD46" wp14:editId="3E8DBC42">
            <wp:extent cx="5808227" cy="4644000"/>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2.png"/>
                    <pic:cNvPicPr/>
                  </pic:nvPicPr>
                  <pic:blipFill>
                    <a:blip r:embed="rId18">
                      <a:extLst>
                        <a:ext uri="{28A0092B-C50C-407E-A947-70E740481C1C}">
                          <a14:useLocalDpi xmlns:a14="http://schemas.microsoft.com/office/drawing/2010/main" val="0"/>
                        </a:ext>
                      </a:extLst>
                    </a:blip>
                    <a:stretch>
                      <a:fillRect/>
                    </a:stretch>
                  </pic:blipFill>
                  <pic:spPr>
                    <a:xfrm>
                      <a:off x="0" y="0"/>
                      <a:ext cx="5808227" cy="4644000"/>
                    </a:xfrm>
                    <a:prstGeom prst="rect">
                      <a:avLst/>
                    </a:prstGeom>
                  </pic:spPr>
                </pic:pic>
              </a:graphicData>
            </a:graphic>
          </wp:inline>
        </w:drawing>
      </w:r>
    </w:p>
    <w:p w14:paraId="1C4FC8C8" w14:textId="3098AD40" w:rsidR="00D94D81" w:rsidRPr="0083677E" w:rsidRDefault="00D94D81" w:rsidP="00614370">
      <w:pPr>
        <w:pStyle w:val="Heading3"/>
      </w:pPr>
      <w:r w:rsidRPr="0083677E">
        <w:lastRenderedPageBreak/>
        <w:t>Approach to Environmental Risk</w:t>
      </w:r>
      <w:r w:rsidR="002A4734" w:rsidRPr="0083677E">
        <w:t> </w:t>
      </w:r>
      <w:r w:rsidRPr="0083677E">
        <w:t>Assessment</w:t>
      </w:r>
    </w:p>
    <w:p w14:paraId="3BD67434" w14:textId="3F169804" w:rsidR="00D94D81" w:rsidRPr="0083677E" w:rsidRDefault="00D94D81" w:rsidP="00F26DCC">
      <w:pPr>
        <w:pStyle w:val="BodyText"/>
        <w:ind w:right="-113"/>
      </w:pPr>
      <w:r w:rsidRPr="0083677E">
        <w:t xml:space="preserve">A </w:t>
      </w:r>
      <w:r w:rsidR="00DD241D">
        <w:t>Concept Design</w:t>
      </w:r>
      <w:r w:rsidRPr="0083677E">
        <w:t xml:space="preserve"> was developed for </w:t>
      </w:r>
      <w:r w:rsidR="00CF6B3F" w:rsidRPr="0083677E">
        <w:t>Melbourne Metro</w:t>
      </w:r>
      <w:r w:rsidRPr="0083677E">
        <w:t xml:space="preserve"> that contained vertical and horizontal alignment details, station layouts and proposed construction methods. The </w:t>
      </w:r>
      <w:r w:rsidR="00DD241D">
        <w:t xml:space="preserve">Concept Design </w:t>
      </w:r>
      <w:r w:rsidRPr="0083677E">
        <w:t xml:space="preserve">formed the basis for impact assessments and environmental risk assessment and is presented in Chapter 6 </w:t>
      </w:r>
      <w:r w:rsidRPr="0083677E">
        <w:rPr>
          <w:rStyle w:val="CharacterStyle-Italic"/>
        </w:rPr>
        <w:t>Project Description</w:t>
      </w:r>
      <w:r w:rsidRPr="0083677E">
        <w:t>.</w:t>
      </w:r>
    </w:p>
    <w:p w14:paraId="2D34B6AC" w14:textId="60D296FC" w:rsidR="00D94D81" w:rsidRPr="0083677E" w:rsidRDefault="00D94D81" w:rsidP="00D94D81">
      <w:pPr>
        <w:pStyle w:val="BodyText"/>
      </w:pPr>
      <w:r w:rsidRPr="0083677E">
        <w:t xml:space="preserve">As a first step in the environmental risk assessment, specialists reviewed the </w:t>
      </w:r>
      <w:r w:rsidR="00DD241D">
        <w:t>Concept Design</w:t>
      </w:r>
      <w:r w:rsidRPr="0083677E">
        <w:t xml:space="preserve"> and identified potential interactions or events in their particular disciplines. </w:t>
      </w:r>
    </w:p>
    <w:p w14:paraId="5A50BEC6" w14:textId="7156AA15" w:rsidR="00D94D81" w:rsidRPr="0083677E" w:rsidRDefault="00D94D81" w:rsidP="00D94D81">
      <w:pPr>
        <w:pStyle w:val="BodyText"/>
      </w:pPr>
      <w:r w:rsidRPr="0083677E">
        <w:t xml:space="preserve">Each of the events identified was then allocated a consequence and likelihood category, based on the descriptions in </w:t>
      </w:r>
      <w:r w:rsidR="00EE2E47" w:rsidRPr="0083677E">
        <w:fldChar w:fldCharType="begin"/>
      </w:r>
      <w:r w:rsidR="00614370" w:rsidRPr="0083677E">
        <w:instrText xml:space="preserve"> REF _Ref444209057 \h </w:instrText>
      </w:r>
      <w:r w:rsidR="00EE2E47" w:rsidRPr="0083677E">
        <w:fldChar w:fldCharType="separate"/>
      </w:r>
      <w:r w:rsidR="005A6DF0" w:rsidRPr="0083677E">
        <w:t>Table </w:t>
      </w:r>
      <w:r w:rsidR="005A6DF0">
        <w:rPr>
          <w:noProof/>
          <w:cs/>
        </w:rPr>
        <w:t>‎</w:t>
      </w:r>
      <w:r w:rsidR="005A6DF0">
        <w:rPr>
          <w:noProof/>
        </w:rPr>
        <w:t>4</w:t>
      </w:r>
      <w:r w:rsidR="005A6DF0" w:rsidRPr="0083677E">
        <w:t>–</w:t>
      </w:r>
      <w:r w:rsidR="005A6DF0">
        <w:rPr>
          <w:noProof/>
        </w:rPr>
        <w:t>2</w:t>
      </w:r>
      <w:r w:rsidR="00EE2E47" w:rsidRPr="0083677E">
        <w:fldChar w:fldCharType="end"/>
      </w:r>
      <w:r w:rsidRPr="0083677E">
        <w:t xml:space="preserve"> and</w:t>
      </w:r>
      <w:r w:rsidR="00663EA8" w:rsidRPr="0083677E">
        <w:t xml:space="preserve"> </w:t>
      </w:r>
      <w:r w:rsidR="00663EA8" w:rsidRPr="0083677E">
        <w:fldChar w:fldCharType="begin"/>
      </w:r>
      <w:r w:rsidR="00663EA8" w:rsidRPr="0083677E">
        <w:instrText xml:space="preserve"> REF _Ref447410713 \h </w:instrText>
      </w:r>
      <w:r w:rsidR="00663EA8" w:rsidRPr="0083677E">
        <w:fldChar w:fldCharType="separate"/>
      </w:r>
      <w:r w:rsidR="005A6DF0" w:rsidRPr="0083677E">
        <w:t>Table </w:t>
      </w:r>
      <w:r w:rsidR="005A6DF0">
        <w:rPr>
          <w:noProof/>
          <w:cs/>
        </w:rPr>
        <w:t>‎</w:t>
      </w:r>
      <w:r w:rsidR="005A6DF0">
        <w:rPr>
          <w:noProof/>
        </w:rPr>
        <w:t>4</w:t>
      </w:r>
      <w:r w:rsidR="005A6DF0" w:rsidRPr="0083677E">
        <w:t>–</w:t>
      </w:r>
      <w:r w:rsidR="005A6DF0">
        <w:rPr>
          <w:noProof/>
        </w:rPr>
        <w:t>3</w:t>
      </w:r>
      <w:r w:rsidR="00663EA8" w:rsidRPr="0083677E">
        <w:fldChar w:fldCharType="end"/>
      </w:r>
      <w:r w:rsidRPr="0083677E">
        <w:t xml:space="preserve">. Specific consequence categories were developed by each specialist using the framework provided in </w:t>
      </w:r>
      <w:r w:rsidR="00EE2E47" w:rsidRPr="0083677E">
        <w:fldChar w:fldCharType="begin"/>
      </w:r>
      <w:r w:rsidR="00614370" w:rsidRPr="0083677E">
        <w:instrText xml:space="preserve"> REF _Ref444209057 \h </w:instrText>
      </w:r>
      <w:r w:rsidR="00EE2E47" w:rsidRPr="0083677E">
        <w:fldChar w:fldCharType="separate"/>
      </w:r>
      <w:r w:rsidR="005A6DF0" w:rsidRPr="0083677E">
        <w:t>Table </w:t>
      </w:r>
      <w:r w:rsidR="005A6DF0">
        <w:rPr>
          <w:noProof/>
          <w:cs/>
        </w:rPr>
        <w:t>‎</w:t>
      </w:r>
      <w:r w:rsidR="005A6DF0">
        <w:rPr>
          <w:noProof/>
        </w:rPr>
        <w:t>4</w:t>
      </w:r>
      <w:r w:rsidR="005A6DF0" w:rsidRPr="0083677E">
        <w:t>–</w:t>
      </w:r>
      <w:r w:rsidR="005A6DF0">
        <w:rPr>
          <w:noProof/>
        </w:rPr>
        <w:t>2</w:t>
      </w:r>
      <w:r w:rsidR="00EE2E47" w:rsidRPr="0083677E">
        <w:fldChar w:fldCharType="end"/>
      </w:r>
      <w:r w:rsidR="00614370" w:rsidRPr="0083677E">
        <w:t xml:space="preserve"> </w:t>
      </w:r>
      <w:r w:rsidRPr="0083677E">
        <w:t>as a guide and taking into account existing conditions in the project area.</w:t>
      </w:r>
    </w:p>
    <w:p w14:paraId="66B3870C" w14:textId="09F730F8" w:rsidR="00D94D81" w:rsidRPr="0083677E" w:rsidRDefault="00D94D81" w:rsidP="00663EA8">
      <w:pPr>
        <w:pStyle w:val="BodyText"/>
      </w:pPr>
      <w:r w:rsidRPr="0083677E">
        <w:t xml:space="preserve">An initial risk rating was then assigned to each event, applying the risk assessment matrix shown in </w:t>
      </w:r>
      <w:r w:rsidR="00663EA8" w:rsidRPr="0083677E">
        <w:fldChar w:fldCharType="begin"/>
      </w:r>
      <w:r w:rsidR="00663EA8" w:rsidRPr="0083677E">
        <w:instrText xml:space="preserve"> REF _Ref447410780 \h </w:instrText>
      </w:r>
      <w:r w:rsidR="00663EA8" w:rsidRPr="0083677E">
        <w:fldChar w:fldCharType="separate"/>
      </w:r>
      <w:r w:rsidR="005A6DF0" w:rsidRPr="0083677E">
        <w:t>Table </w:t>
      </w:r>
      <w:r w:rsidR="005A6DF0">
        <w:rPr>
          <w:noProof/>
          <w:cs/>
        </w:rPr>
        <w:t>‎</w:t>
      </w:r>
      <w:r w:rsidR="005A6DF0">
        <w:rPr>
          <w:noProof/>
        </w:rPr>
        <w:t>4</w:t>
      </w:r>
      <w:r w:rsidR="005A6DF0" w:rsidRPr="0083677E">
        <w:t>–</w:t>
      </w:r>
      <w:r w:rsidR="005A6DF0">
        <w:rPr>
          <w:noProof/>
        </w:rPr>
        <w:t>4</w:t>
      </w:r>
      <w:r w:rsidR="00663EA8" w:rsidRPr="0083677E">
        <w:fldChar w:fldCharType="end"/>
      </w:r>
      <w:r w:rsidRPr="0083677E">
        <w:t xml:space="preserve"> and based on the elements and measures outlined in the </w:t>
      </w:r>
      <w:r w:rsidR="00DD241D">
        <w:t>Concept Design</w:t>
      </w:r>
      <w:r w:rsidRPr="0083677E">
        <w:t>. The risk matrix reflects the fact that risk is a function of the consequence of an event, if it occurs, and the likelihood of the event occurring.</w:t>
      </w:r>
    </w:p>
    <w:p w14:paraId="1050BE64" w14:textId="1F034D90" w:rsidR="00D94D81" w:rsidRPr="0083677E" w:rsidRDefault="00D94D81" w:rsidP="00D94D81">
      <w:pPr>
        <w:pStyle w:val="BodyText"/>
      </w:pPr>
      <w:r w:rsidRPr="0083677E">
        <w:t>The consequence criteria in the risk assessment matrix extend across a scale of magnitude from ‘negligible’ to ‘severe’, reflecting the size of the impact, the spatial area affected and the expected recovery time of the environmental system(s) affected. Where a minimal impact was indicated over a local area only and with a recovery time within the range of normal variability, the consequence of the event was considered to be ‘minor’ (towards the ‘negligible’ end of the scale). Conversely, a ‘major’ consequence describes scenarios involving a very high magnitude event, affecting a very large area or requiring many years to</w:t>
      </w:r>
      <w:r w:rsidR="002A4734" w:rsidRPr="0083677E">
        <w:t> </w:t>
      </w:r>
      <w:r w:rsidRPr="0083677E">
        <w:t xml:space="preserve">recover. </w:t>
      </w:r>
    </w:p>
    <w:p w14:paraId="04A4AC71" w14:textId="77777777" w:rsidR="00D94D81" w:rsidRPr="0083677E" w:rsidRDefault="00D94D81" w:rsidP="00D94D81">
      <w:pPr>
        <w:pStyle w:val="BodyText"/>
      </w:pPr>
      <w:r w:rsidRPr="0083677E">
        <w:t>The likelihood criteria in the risk assessment matrix relate to the likelihood or probability or chance of a risk event occurring over a particular period of time. The longer the time-scale, the greater the likelihood of a particular risk event occurring. The likelihood criteria in the risk assessment matrix range across a scale from ‘almost certain’ where ‘the event is almost certain to occur one or more times a year’ to ‘rare’ where ‘the event is unlikely to occur but may occur in exceptional circumstances.’</w:t>
      </w:r>
    </w:p>
    <w:p w14:paraId="7BFB76BE" w14:textId="15B21DCB" w:rsidR="00C10BE1" w:rsidRDefault="00D94D81" w:rsidP="00C10BE1">
      <w:pPr>
        <w:pStyle w:val="BodyText"/>
      </w:pPr>
      <w:r w:rsidRPr="0083677E">
        <w:t>After each risk was assigned a rating, the specialists conducting the risk assessments participated in a series of multi-disciplinary workshops to consider any events that were identified as having a very high, high or medium initial risk</w:t>
      </w:r>
      <w:r w:rsidR="00C10BE1">
        <w:t>.</w:t>
      </w:r>
      <w:r w:rsidR="00C10BE1" w:rsidRPr="00C10BE1">
        <w:t xml:space="preserve"> </w:t>
      </w:r>
      <w:r w:rsidR="00C10BE1" w:rsidRPr="00045A39">
        <w:t>Th</w:t>
      </w:r>
      <w:r w:rsidR="00C10BE1">
        <w:t>e workshops</w:t>
      </w:r>
      <w:r w:rsidR="00C10BE1" w:rsidRPr="00045A39">
        <w:t xml:space="preserve"> ensured the risks were contextualised to the project</w:t>
      </w:r>
      <w:r w:rsidR="00C10BE1">
        <w:t>, being evaluated consistently across the disciplines</w:t>
      </w:r>
      <w:r w:rsidR="00C10BE1" w:rsidRPr="00045A39">
        <w:t xml:space="preserve"> and that risks resulting from interactions between study </w:t>
      </w:r>
      <w:r w:rsidR="00C10BE1">
        <w:t>disciplines</w:t>
      </w:r>
      <w:r w:rsidR="00C10BE1" w:rsidRPr="00045A39">
        <w:t xml:space="preserve"> were considered and delineated.</w:t>
      </w:r>
    </w:p>
    <w:p w14:paraId="0FC9377C" w14:textId="0D1BBBAC" w:rsidR="00C10BE1" w:rsidRDefault="00C10BE1" w:rsidP="00D94D81">
      <w:pPr>
        <w:pStyle w:val="BodyText"/>
      </w:pPr>
    </w:p>
    <w:p w14:paraId="3C7821AD" w14:textId="0AD84F9E" w:rsidR="00D94D81" w:rsidRPr="0083677E" w:rsidRDefault="00C10BE1" w:rsidP="00D94D81">
      <w:pPr>
        <w:pStyle w:val="BodyText"/>
      </w:pPr>
      <w:r>
        <w:lastRenderedPageBreak/>
        <w:t>A</w:t>
      </w:r>
      <w:r w:rsidR="00D94D81" w:rsidRPr="0083677E">
        <w:t xml:space="preserve">dditional management and mitigation measures were identified and each relevant risk rating was re-evaluated to identify the residual risk from </w:t>
      </w:r>
      <w:r w:rsidR="004339BF" w:rsidRPr="0083677E">
        <w:t xml:space="preserve">Melbourne Metro. </w:t>
      </w:r>
      <w:r w:rsidR="00D94D81" w:rsidRPr="0083677E">
        <w:t>The residual risk reflects the likelihood and consequence of the risk following the implementation of the Environmental Performance Requirements.</w:t>
      </w:r>
    </w:p>
    <w:p w14:paraId="67B0AD48" w14:textId="6350E998" w:rsidR="00D94D81" w:rsidRPr="0083677E" w:rsidRDefault="00EE2E47" w:rsidP="00934266">
      <w:pPr>
        <w:pStyle w:val="BodyText"/>
        <w:rPr>
          <w:rStyle w:val="CharacterStyle-Highlight"/>
          <w:shd w:val="clear" w:color="auto" w:fill="auto"/>
        </w:rPr>
      </w:pPr>
      <w:r w:rsidRPr="0083677E">
        <w:rPr>
          <w:rStyle w:val="CharacterStyle-Highlight"/>
          <w:shd w:val="clear" w:color="auto" w:fill="auto"/>
        </w:rPr>
        <w:t xml:space="preserve">The risk assessment was reviewed progressively during the specialist impact assessment phase to reflect the findings of investigations undertaken and to finalise proposed mitigation measures to inform the residual risks. The risk assessment also informed the development of the Environmental Management Framework, which provides the framework for implementing the mitigation measures to achieve compliance with regulatory requirements, government policy and strategy throughout the life of </w:t>
      </w:r>
      <w:r w:rsidR="00D60FF7" w:rsidRPr="0083677E">
        <w:rPr>
          <w:rStyle w:val="CharacterStyle-Highlight"/>
          <w:shd w:val="clear" w:color="auto" w:fill="auto"/>
        </w:rPr>
        <w:t>Melbourne Metro</w:t>
      </w:r>
      <w:r w:rsidR="00934266" w:rsidRPr="0083677E">
        <w:rPr>
          <w:rStyle w:val="CharacterStyle-Highlight"/>
          <w:shd w:val="clear" w:color="auto" w:fill="auto"/>
        </w:rPr>
        <w:t>.</w:t>
      </w:r>
      <w:r w:rsidR="003F5DD3" w:rsidRPr="0083677E">
        <w:rPr>
          <w:rStyle w:val="CharacterStyle-Highlight"/>
          <w:shd w:val="clear" w:color="auto" w:fill="auto"/>
        </w:rPr>
        <w:t xml:space="preserve"> </w:t>
      </w:r>
    </w:p>
    <w:p w14:paraId="7FF48F46" w14:textId="079A9FCC" w:rsidR="00D94D81" w:rsidRPr="0083677E" w:rsidRDefault="00D94D81" w:rsidP="00D94D81">
      <w:pPr>
        <w:pStyle w:val="BodyText"/>
      </w:pPr>
      <w:r w:rsidRPr="0083677E">
        <w:t xml:space="preserve">The finalised risk assessment is presented in a report appended to the EES (see </w:t>
      </w:r>
      <w:r w:rsidR="00D60FF7" w:rsidRPr="0083677E">
        <w:t xml:space="preserve">Technical </w:t>
      </w:r>
      <w:r w:rsidRPr="0083677E">
        <w:t xml:space="preserve">Appendix B), which includes the complete </w:t>
      </w:r>
      <w:r w:rsidR="000E72D1" w:rsidRPr="0083677E">
        <w:t xml:space="preserve">Melbourne Metro </w:t>
      </w:r>
      <w:r w:rsidRPr="0083677E">
        <w:t>Risk Register. Extracts from the register are included in each of the impact assessment chapters.</w:t>
      </w:r>
    </w:p>
    <w:p w14:paraId="642974C0" w14:textId="77777777" w:rsidR="00D94D81" w:rsidRPr="0083677E" w:rsidRDefault="00614370" w:rsidP="00D60FF7">
      <w:pPr>
        <w:pStyle w:val="Caption"/>
      </w:pPr>
      <w:bookmarkStart w:id="14" w:name="_Ref444209057"/>
      <w:r w:rsidRPr="0083677E">
        <w:t>Table </w:t>
      </w:r>
      <w:r w:rsidR="00E920FA">
        <w:fldChar w:fldCharType="begin"/>
      </w:r>
      <w:r w:rsidR="00E920FA">
        <w:instrText xml:space="preserve"> STYLER</w:instrText>
      </w:r>
      <w:r w:rsidR="00E920FA">
        <w:instrText xml:space="preserve">EF 1 \s </w:instrText>
      </w:r>
      <w:r w:rsidR="00E920FA">
        <w:fldChar w:fldCharType="separate"/>
      </w:r>
      <w:r w:rsidR="005A6DF0">
        <w:rPr>
          <w:noProof/>
          <w:cs/>
        </w:rPr>
        <w:t>‎</w:t>
      </w:r>
      <w:r w:rsidR="005A6DF0">
        <w:rPr>
          <w:noProof/>
        </w:rPr>
        <w:t>4</w:t>
      </w:r>
      <w:r w:rsidR="00E920FA">
        <w:rPr>
          <w:noProof/>
        </w:rPr>
        <w:fldChar w:fldCharType="end"/>
      </w:r>
      <w:r w:rsidR="004D3B36" w:rsidRPr="0083677E">
        <w:t>–</w:t>
      </w:r>
      <w:r w:rsidR="00E920FA">
        <w:fldChar w:fldCharType="begin"/>
      </w:r>
      <w:r w:rsidR="00E920FA">
        <w:instrText xml:space="preserve"> SEQ Table \* ARABIC \s 1 </w:instrText>
      </w:r>
      <w:r w:rsidR="00E920FA">
        <w:fldChar w:fldCharType="separate"/>
      </w:r>
      <w:r w:rsidR="005A6DF0">
        <w:rPr>
          <w:noProof/>
        </w:rPr>
        <w:t>2</w:t>
      </w:r>
      <w:r w:rsidR="00E920FA">
        <w:rPr>
          <w:noProof/>
        </w:rPr>
        <w:fldChar w:fldCharType="end"/>
      </w:r>
      <w:bookmarkEnd w:id="14"/>
      <w:r w:rsidRPr="0083677E">
        <w:tab/>
      </w:r>
      <w:r w:rsidR="00D94D81" w:rsidRPr="0083677E">
        <w:t>Consequence framework</w:t>
      </w:r>
    </w:p>
    <w:tbl>
      <w:tblPr>
        <w:tblStyle w:val="MainTableStyle"/>
        <w:tblW w:w="0" w:type="auto"/>
        <w:tblLayout w:type="fixed"/>
        <w:tblLook w:val="04A0" w:firstRow="1" w:lastRow="0" w:firstColumn="1" w:lastColumn="0" w:noHBand="0" w:noVBand="1"/>
      </w:tblPr>
      <w:tblGrid>
        <w:gridCol w:w="1456"/>
        <w:gridCol w:w="3233"/>
        <w:gridCol w:w="2726"/>
      </w:tblGrid>
      <w:tr w:rsidR="002D1B90" w:rsidRPr="0083677E" w14:paraId="1AE156BC" w14:textId="77777777" w:rsidTr="00C20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2570E190" w14:textId="77777777" w:rsidR="002D1B90" w:rsidRPr="0083677E" w:rsidRDefault="002D1B90" w:rsidP="00C2013B">
            <w:pPr>
              <w:pStyle w:val="TableText"/>
            </w:pPr>
            <w:r w:rsidRPr="0083677E">
              <w:t>Level</w:t>
            </w:r>
          </w:p>
        </w:tc>
        <w:tc>
          <w:tcPr>
            <w:tcW w:w="3233" w:type="dxa"/>
          </w:tcPr>
          <w:p w14:paraId="768A15CB" w14:textId="5AF79688" w:rsidR="002D1B90" w:rsidRPr="0083677E" w:rsidRDefault="002D1B90" w:rsidP="00C2013B">
            <w:pPr>
              <w:pStyle w:val="TableText"/>
              <w:cnfStyle w:val="100000000000" w:firstRow="1" w:lastRow="0" w:firstColumn="0" w:lastColumn="0" w:oddVBand="0" w:evenVBand="0" w:oddHBand="0" w:evenHBand="0" w:firstRowFirstColumn="0" w:firstRowLastColumn="0" w:lastRowFirstColumn="0" w:lastRowLastColumn="0"/>
            </w:pPr>
            <w:r w:rsidRPr="0083677E">
              <w:t>Qualitative description of biophysical</w:t>
            </w:r>
            <w:r w:rsidR="003E281E" w:rsidRPr="0083677E">
              <w:t>/</w:t>
            </w:r>
            <w:r w:rsidRPr="0083677E">
              <w:t>environmental consequence</w:t>
            </w:r>
          </w:p>
        </w:tc>
        <w:tc>
          <w:tcPr>
            <w:tcW w:w="2726" w:type="dxa"/>
          </w:tcPr>
          <w:p w14:paraId="2A730DB3" w14:textId="77777777" w:rsidR="002D1B90" w:rsidRPr="0083677E" w:rsidRDefault="002D1B90" w:rsidP="00C2013B">
            <w:pPr>
              <w:pStyle w:val="TableText"/>
              <w:cnfStyle w:val="100000000000" w:firstRow="1" w:lastRow="0" w:firstColumn="0" w:lastColumn="0" w:oddVBand="0" w:evenVBand="0" w:oddHBand="0" w:evenHBand="0" w:firstRowFirstColumn="0" w:firstRowLastColumn="0" w:lastRowFirstColumn="0" w:lastRowLastColumn="0"/>
            </w:pPr>
            <w:r w:rsidRPr="0083677E">
              <w:t>Qualitative description of socio-economic consequence</w:t>
            </w:r>
          </w:p>
        </w:tc>
      </w:tr>
      <w:tr w:rsidR="002D1B90" w:rsidRPr="0083677E" w14:paraId="022ADA68"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56" w:type="dxa"/>
          </w:tcPr>
          <w:p w14:paraId="51C92171" w14:textId="77777777" w:rsidR="002D1B90" w:rsidRPr="0083677E" w:rsidRDefault="002D1B90" w:rsidP="00F2222F">
            <w:pPr>
              <w:pStyle w:val="TableText"/>
            </w:pPr>
            <w:r w:rsidRPr="0083677E">
              <w:t>Negligible</w:t>
            </w:r>
          </w:p>
        </w:tc>
        <w:tc>
          <w:tcPr>
            <w:tcW w:w="3233" w:type="dxa"/>
          </w:tcPr>
          <w:p w14:paraId="2C14E044" w14:textId="43F47E4B"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No detectable change in a local environmental setting</w:t>
            </w:r>
          </w:p>
        </w:tc>
        <w:tc>
          <w:tcPr>
            <w:tcW w:w="2726" w:type="dxa"/>
          </w:tcPr>
          <w:p w14:paraId="37EC5FFA" w14:textId="655119FD"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No detectable impact on economic, cultural, recreatio</w:t>
            </w:r>
            <w:r w:rsidR="004141D7" w:rsidRPr="0083677E">
              <w:t>nal, aesthetic or social values</w:t>
            </w:r>
          </w:p>
        </w:tc>
      </w:tr>
      <w:tr w:rsidR="002D1B90" w:rsidRPr="0083677E" w14:paraId="1A124A2E"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56" w:type="dxa"/>
          </w:tcPr>
          <w:p w14:paraId="4109806D" w14:textId="77777777" w:rsidR="002D1B90" w:rsidRPr="0083677E" w:rsidRDefault="002D1B90" w:rsidP="00F2222F">
            <w:pPr>
              <w:pStyle w:val="TableText"/>
            </w:pPr>
            <w:r w:rsidRPr="0083677E">
              <w:t>Minor</w:t>
            </w:r>
          </w:p>
        </w:tc>
        <w:tc>
          <w:tcPr>
            <w:tcW w:w="3233" w:type="dxa"/>
          </w:tcPr>
          <w:p w14:paraId="2490BBBB" w14:textId="117C19F9"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Short-term, reversible changes, within natural variability range, in a local environmental setting</w:t>
            </w:r>
          </w:p>
        </w:tc>
        <w:tc>
          <w:tcPr>
            <w:tcW w:w="2726" w:type="dxa"/>
          </w:tcPr>
          <w:p w14:paraId="5F7EAF27" w14:textId="1B5470E7"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Short-term, localised impact on economic, cultural, recreatio</w:t>
            </w:r>
            <w:r w:rsidR="004141D7" w:rsidRPr="0083677E">
              <w:t>nal, aesthetic or social values</w:t>
            </w:r>
          </w:p>
        </w:tc>
      </w:tr>
      <w:tr w:rsidR="002D1B90" w:rsidRPr="0083677E" w14:paraId="5D9C7FCA"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56" w:type="dxa"/>
          </w:tcPr>
          <w:p w14:paraId="4AB48679" w14:textId="77777777" w:rsidR="002D1B90" w:rsidRPr="0083677E" w:rsidRDefault="002D1B90" w:rsidP="00F2222F">
            <w:pPr>
              <w:pStyle w:val="TableText"/>
            </w:pPr>
            <w:r w:rsidRPr="0083677E">
              <w:t>Moderate</w:t>
            </w:r>
          </w:p>
        </w:tc>
        <w:tc>
          <w:tcPr>
            <w:tcW w:w="3233" w:type="dxa"/>
          </w:tcPr>
          <w:p w14:paraId="0A97BFE7" w14:textId="60FD26F1"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Long-term but limited changes to local environmental setting that are able to be managed</w:t>
            </w:r>
          </w:p>
        </w:tc>
        <w:tc>
          <w:tcPr>
            <w:tcW w:w="2726" w:type="dxa"/>
          </w:tcPr>
          <w:p w14:paraId="7AA9C2A0" w14:textId="2AB5ED15"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Significant and/or long-term change in quality of economic, cultural, recreational, aesthetic or social values in local setting. Li</w:t>
            </w:r>
            <w:r w:rsidR="004141D7" w:rsidRPr="0083677E">
              <w:t>mited impacts at regional level</w:t>
            </w:r>
          </w:p>
        </w:tc>
      </w:tr>
      <w:tr w:rsidR="002D1B90" w:rsidRPr="0083677E" w14:paraId="0A7DCABC"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56" w:type="dxa"/>
          </w:tcPr>
          <w:p w14:paraId="57DF5866" w14:textId="77777777" w:rsidR="002D1B90" w:rsidRPr="0083677E" w:rsidRDefault="002D1B90" w:rsidP="00F2222F">
            <w:pPr>
              <w:pStyle w:val="TableText"/>
            </w:pPr>
            <w:r w:rsidRPr="0083677E">
              <w:t>Major</w:t>
            </w:r>
          </w:p>
        </w:tc>
        <w:tc>
          <w:tcPr>
            <w:tcW w:w="3233" w:type="dxa"/>
          </w:tcPr>
          <w:p w14:paraId="2E4F301A" w14:textId="1920048C"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Long-term, significant changes resulting in risks to human health and/or the environment beyond the local environmental setting</w:t>
            </w:r>
          </w:p>
        </w:tc>
        <w:tc>
          <w:tcPr>
            <w:tcW w:w="2726" w:type="dxa"/>
          </w:tcPr>
          <w:p w14:paraId="2EF51044" w14:textId="78DB24D1"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Significant, long-term change in quality of economic, cultural, recreational, aesthetic or social values at local, regional and State levels. Li</w:t>
            </w:r>
            <w:r w:rsidR="004141D7" w:rsidRPr="0083677E">
              <w:t>mited impacts at national level</w:t>
            </w:r>
          </w:p>
        </w:tc>
      </w:tr>
      <w:tr w:rsidR="002D1B90" w:rsidRPr="0083677E" w14:paraId="7C502451"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56" w:type="dxa"/>
          </w:tcPr>
          <w:p w14:paraId="16D75375" w14:textId="77777777" w:rsidR="002D1B90" w:rsidRPr="0083677E" w:rsidRDefault="002D1B90" w:rsidP="00F2222F">
            <w:pPr>
              <w:pStyle w:val="TableText"/>
            </w:pPr>
            <w:r w:rsidRPr="0083677E">
              <w:t>Severe</w:t>
            </w:r>
          </w:p>
        </w:tc>
        <w:tc>
          <w:tcPr>
            <w:tcW w:w="3233" w:type="dxa"/>
          </w:tcPr>
          <w:p w14:paraId="5DA97C14" w14:textId="7C5B2A80"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Irreversible, significant changes resulting in widespread risks to human health and/or the environment at a regional scale or broader</w:t>
            </w:r>
          </w:p>
        </w:tc>
        <w:tc>
          <w:tcPr>
            <w:tcW w:w="2726" w:type="dxa"/>
          </w:tcPr>
          <w:p w14:paraId="4A09FD88" w14:textId="01E1168F"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Significant, permanent impact on regional economy and/or irreversible changes to cultural, recreational, aesthetic or social values at regional, Sta</w:t>
            </w:r>
            <w:r w:rsidR="004141D7" w:rsidRPr="0083677E">
              <w:t>te and national levels</w:t>
            </w:r>
          </w:p>
        </w:tc>
      </w:tr>
    </w:tbl>
    <w:p w14:paraId="23D0A33D" w14:textId="77777777" w:rsidR="007D5167" w:rsidRPr="0083677E" w:rsidRDefault="007D5167" w:rsidP="007D5167">
      <w:pPr>
        <w:pStyle w:val="Source"/>
      </w:pPr>
      <w:bookmarkStart w:id="15" w:name="_Ref444209065"/>
    </w:p>
    <w:p w14:paraId="298E366E" w14:textId="587888DE" w:rsidR="00D94D81" w:rsidRPr="0083677E" w:rsidRDefault="00614370" w:rsidP="00614370">
      <w:pPr>
        <w:pStyle w:val="Caption"/>
      </w:pPr>
      <w:bookmarkStart w:id="16" w:name="_Ref447410713"/>
      <w:r w:rsidRPr="0083677E">
        <w:lastRenderedPageBreak/>
        <w:t>Table</w:t>
      </w:r>
      <w:r w:rsidR="00C36150" w:rsidRPr="0083677E">
        <w:t> </w:t>
      </w:r>
      <w:r w:rsidR="00E920FA">
        <w:fldChar w:fldCharType="begin"/>
      </w:r>
      <w:r w:rsidR="00E920FA">
        <w:instrText xml:space="preserve"> STYLEREF 1 \s </w:instrText>
      </w:r>
      <w:r w:rsidR="00E920FA">
        <w:fldChar w:fldCharType="separate"/>
      </w:r>
      <w:r w:rsidR="005A6DF0">
        <w:rPr>
          <w:noProof/>
          <w:cs/>
        </w:rPr>
        <w:t>‎</w:t>
      </w:r>
      <w:r w:rsidR="005A6DF0">
        <w:rPr>
          <w:noProof/>
        </w:rPr>
        <w:t>4</w:t>
      </w:r>
      <w:r w:rsidR="00E920FA">
        <w:rPr>
          <w:noProof/>
        </w:rPr>
        <w:fldChar w:fldCharType="end"/>
      </w:r>
      <w:r w:rsidR="004D3B36" w:rsidRPr="0083677E">
        <w:t>–</w:t>
      </w:r>
      <w:r w:rsidR="00E920FA">
        <w:fldChar w:fldCharType="begin"/>
      </w:r>
      <w:r w:rsidR="00E920FA">
        <w:instrText xml:space="preserve"> SEQ Table \* ARABIC \s 1 </w:instrText>
      </w:r>
      <w:r w:rsidR="00E920FA">
        <w:fldChar w:fldCharType="separate"/>
      </w:r>
      <w:r w:rsidR="005A6DF0">
        <w:rPr>
          <w:noProof/>
        </w:rPr>
        <w:t>3</w:t>
      </w:r>
      <w:r w:rsidR="00E920FA">
        <w:rPr>
          <w:noProof/>
        </w:rPr>
        <w:fldChar w:fldCharType="end"/>
      </w:r>
      <w:bookmarkEnd w:id="15"/>
      <w:bookmarkEnd w:id="16"/>
      <w:r w:rsidRPr="0083677E">
        <w:tab/>
      </w:r>
      <w:r w:rsidR="00D94D81" w:rsidRPr="0083677E">
        <w:t xml:space="preserve">Definition of likelihood </w:t>
      </w:r>
    </w:p>
    <w:tbl>
      <w:tblPr>
        <w:tblStyle w:val="MainTableStyle"/>
        <w:tblW w:w="0" w:type="auto"/>
        <w:tblLayout w:type="fixed"/>
        <w:tblLook w:val="04A0" w:firstRow="1" w:lastRow="0" w:firstColumn="1" w:lastColumn="0" w:noHBand="0" w:noVBand="1"/>
      </w:tblPr>
      <w:tblGrid>
        <w:gridCol w:w="1467"/>
        <w:gridCol w:w="5948"/>
      </w:tblGrid>
      <w:tr w:rsidR="002D1B90" w:rsidRPr="0083677E" w14:paraId="609E8064" w14:textId="77777777" w:rsidTr="00C20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 w:type="dxa"/>
          </w:tcPr>
          <w:p w14:paraId="4FCAEF4E" w14:textId="77777777" w:rsidR="002D1B90" w:rsidRPr="0083677E" w:rsidRDefault="002D1B90" w:rsidP="00C2013B">
            <w:pPr>
              <w:pStyle w:val="TableText"/>
            </w:pPr>
            <w:r w:rsidRPr="0083677E">
              <w:t>Level</w:t>
            </w:r>
          </w:p>
        </w:tc>
        <w:tc>
          <w:tcPr>
            <w:tcW w:w="5948" w:type="dxa"/>
          </w:tcPr>
          <w:p w14:paraId="374B58E8" w14:textId="77777777" w:rsidR="002D1B90" w:rsidRPr="0083677E" w:rsidRDefault="002D1B90" w:rsidP="00C2013B">
            <w:pPr>
              <w:pStyle w:val="TableText"/>
              <w:cnfStyle w:val="100000000000" w:firstRow="1" w:lastRow="0" w:firstColumn="0" w:lastColumn="0" w:oddVBand="0" w:evenVBand="0" w:oddHBand="0" w:evenHBand="0" w:firstRowFirstColumn="0" w:firstRowLastColumn="0" w:lastRowFirstColumn="0" w:lastRowLastColumn="0"/>
            </w:pPr>
            <w:r w:rsidRPr="0083677E">
              <w:t>Description</w:t>
            </w:r>
          </w:p>
        </w:tc>
      </w:tr>
      <w:tr w:rsidR="002D1B90" w:rsidRPr="0083677E" w14:paraId="11A88768"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67" w:type="dxa"/>
          </w:tcPr>
          <w:p w14:paraId="3BB05A70" w14:textId="77777777" w:rsidR="002D1B90" w:rsidRPr="0083677E" w:rsidRDefault="002D1B90" w:rsidP="00F2222F">
            <w:pPr>
              <w:pStyle w:val="TableText"/>
            </w:pPr>
            <w:r w:rsidRPr="0083677E">
              <w:t>Rare</w:t>
            </w:r>
          </w:p>
        </w:tc>
        <w:tc>
          <w:tcPr>
            <w:tcW w:w="5948" w:type="dxa"/>
          </w:tcPr>
          <w:p w14:paraId="778A59EB" w14:textId="2D366326"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The event is very unlikely to occur but may occu</w:t>
            </w:r>
            <w:r w:rsidR="004141D7" w:rsidRPr="0083677E">
              <w:t>r in exceptional circumstances</w:t>
            </w:r>
          </w:p>
        </w:tc>
      </w:tr>
      <w:tr w:rsidR="002D1B90" w:rsidRPr="0083677E" w14:paraId="166F0844"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67" w:type="dxa"/>
          </w:tcPr>
          <w:p w14:paraId="095F5E27" w14:textId="77777777" w:rsidR="002D1B90" w:rsidRPr="0083677E" w:rsidRDefault="002D1B90" w:rsidP="00F2222F">
            <w:pPr>
              <w:pStyle w:val="TableText"/>
            </w:pPr>
            <w:r w:rsidRPr="0083677E">
              <w:t>Unlikely</w:t>
            </w:r>
          </w:p>
        </w:tc>
        <w:tc>
          <w:tcPr>
            <w:tcW w:w="5948" w:type="dxa"/>
          </w:tcPr>
          <w:p w14:paraId="2AABA894" w14:textId="1A866892"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The event may occur under unusual ci</w:t>
            </w:r>
            <w:r w:rsidR="004141D7" w:rsidRPr="0083677E">
              <w:t>rcumstances but is not expected</w:t>
            </w:r>
          </w:p>
        </w:tc>
      </w:tr>
      <w:tr w:rsidR="002D1B90" w:rsidRPr="0083677E" w14:paraId="6813EDC1"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67" w:type="dxa"/>
          </w:tcPr>
          <w:p w14:paraId="3C9CCBA8" w14:textId="77777777" w:rsidR="002D1B90" w:rsidRPr="0083677E" w:rsidRDefault="002D1B90" w:rsidP="00F2222F">
            <w:pPr>
              <w:pStyle w:val="TableText"/>
            </w:pPr>
            <w:r w:rsidRPr="0083677E">
              <w:t>Possible</w:t>
            </w:r>
          </w:p>
        </w:tc>
        <w:tc>
          <w:tcPr>
            <w:tcW w:w="5948" w:type="dxa"/>
          </w:tcPr>
          <w:p w14:paraId="663DB349" w14:textId="4247FF79"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The event may occur on</w:t>
            </w:r>
            <w:r w:rsidR="004141D7" w:rsidRPr="0083677E">
              <w:t>ce within a five year timeframe</w:t>
            </w:r>
          </w:p>
        </w:tc>
      </w:tr>
      <w:tr w:rsidR="002D1B90" w:rsidRPr="0083677E" w14:paraId="1AEEEF40"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67" w:type="dxa"/>
          </w:tcPr>
          <w:p w14:paraId="5F94F714" w14:textId="77777777" w:rsidR="002D1B90" w:rsidRPr="0083677E" w:rsidRDefault="002D1B90" w:rsidP="00F2222F">
            <w:pPr>
              <w:pStyle w:val="TableText"/>
            </w:pPr>
            <w:r w:rsidRPr="0083677E">
              <w:t>Likely</w:t>
            </w:r>
          </w:p>
        </w:tc>
        <w:tc>
          <w:tcPr>
            <w:tcW w:w="5948" w:type="dxa"/>
          </w:tcPr>
          <w:p w14:paraId="70D79EAB" w14:textId="03309600"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The event is likely to occur several tim</w:t>
            </w:r>
            <w:r w:rsidR="004141D7" w:rsidRPr="0083677E">
              <w:t>es within a five year timeframe</w:t>
            </w:r>
          </w:p>
        </w:tc>
      </w:tr>
      <w:tr w:rsidR="002D1B90" w:rsidRPr="0083677E" w14:paraId="2AA81EA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467" w:type="dxa"/>
          </w:tcPr>
          <w:p w14:paraId="5B5D17BB" w14:textId="77777777" w:rsidR="002D1B90" w:rsidRPr="0083677E" w:rsidRDefault="002D1B90" w:rsidP="00F2222F">
            <w:pPr>
              <w:pStyle w:val="TableText"/>
            </w:pPr>
            <w:r w:rsidRPr="0083677E">
              <w:t>Almost Certain</w:t>
            </w:r>
          </w:p>
        </w:tc>
        <w:tc>
          <w:tcPr>
            <w:tcW w:w="5948" w:type="dxa"/>
          </w:tcPr>
          <w:p w14:paraId="1D644497" w14:textId="66653CD8" w:rsidR="002D1B90" w:rsidRPr="0083677E" w:rsidRDefault="002D1B90" w:rsidP="00F2222F">
            <w:pPr>
              <w:pStyle w:val="TableText"/>
              <w:cnfStyle w:val="000000000000" w:firstRow="0" w:lastRow="0" w:firstColumn="0" w:lastColumn="0" w:oddVBand="0" w:evenVBand="0" w:oddHBand="0" w:evenHBand="0" w:firstRowFirstColumn="0" w:firstRowLastColumn="0" w:lastRowFirstColumn="0" w:lastRowLastColumn="0"/>
            </w:pPr>
            <w:r w:rsidRPr="0083677E">
              <w:t>The event is almost certain to occur one or more times a y</w:t>
            </w:r>
            <w:r w:rsidR="004141D7" w:rsidRPr="0083677E">
              <w:t>ear</w:t>
            </w:r>
          </w:p>
        </w:tc>
      </w:tr>
    </w:tbl>
    <w:p w14:paraId="16132378" w14:textId="77777777" w:rsidR="007D5167" w:rsidRPr="0083677E" w:rsidRDefault="007D5167" w:rsidP="007D5167">
      <w:pPr>
        <w:pStyle w:val="Source"/>
      </w:pPr>
      <w:bookmarkStart w:id="17" w:name="_Ref444209085"/>
    </w:p>
    <w:p w14:paraId="0EAD1004" w14:textId="4042255B" w:rsidR="00D94D81" w:rsidRPr="0083677E" w:rsidRDefault="00614370" w:rsidP="002A4734">
      <w:pPr>
        <w:pStyle w:val="Caption"/>
      </w:pPr>
      <w:bookmarkStart w:id="18" w:name="_Ref447410780"/>
      <w:r w:rsidRPr="0083677E">
        <w:t>Table</w:t>
      </w:r>
      <w:r w:rsidR="00C36150" w:rsidRPr="0083677E">
        <w:t> </w:t>
      </w:r>
      <w:r w:rsidR="00E920FA">
        <w:fldChar w:fldCharType="begin"/>
      </w:r>
      <w:r w:rsidR="00E920FA">
        <w:instrText xml:space="preserve"> STYLEREF 1 \s </w:instrText>
      </w:r>
      <w:r w:rsidR="00E920FA">
        <w:fldChar w:fldCharType="separate"/>
      </w:r>
      <w:r w:rsidR="005A6DF0">
        <w:rPr>
          <w:noProof/>
          <w:cs/>
        </w:rPr>
        <w:t>‎</w:t>
      </w:r>
      <w:r w:rsidR="005A6DF0">
        <w:rPr>
          <w:noProof/>
        </w:rPr>
        <w:t>4</w:t>
      </w:r>
      <w:r w:rsidR="00E920FA">
        <w:rPr>
          <w:noProof/>
        </w:rPr>
        <w:fldChar w:fldCharType="end"/>
      </w:r>
      <w:r w:rsidR="004D3B36" w:rsidRPr="0083677E">
        <w:t>–</w:t>
      </w:r>
      <w:r w:rsidR="00E920FA">
        <w:fldChar w:fldCharType="begin"/>
      </w:r>
      <w:r w:rsidR="00E920FA">
        <w:instrText xml:space="preserve"> SEQ Table \* ARABIC \s 1 </w:instrText>
      </w:r>
      <w:r w:rsidR="00E920FA">
        <w:fldChar w:fldCharType="separate"/>
      </w:r>
      <w:r w:rsidR="005A6DF0">
        <w:rPr>
          <w:noProof/>
        </w:rPr>
        <w:t>4</w:t>
      </w:r>
      <w:r w:rsidR="00E920FA">
        <w:rPr>
          <w:noProof/>
        </w:rPr>
        <w:fldChar w:fldCharType="end"/>
      </w:r>
      <w:bookmarkEnd w:id="17"/>
      <w:bookmarkEnd w:id="18"/>
      <w:r w:rsidRPr="0083677E">
        <w:tab/>
      </w:r>
      <w:r w:rsidR="00D94D81" w:rsidRPr="0083677E">
        <w:t xml:space="preserve">Risk assessment matrix </w:t>
      </w:r>
    </w:p>
    <w:tbl>
      <w:tblPr>
        <w:tblW w:w="0" w:type="auto"/>
        <w:tblBorders>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959"/>
        <w:gridCol w:w="1486"/>
        <w:gridCol w:w="994"/>
        <w:gridCol w:w="994"/>
        <w:gridCol w:w="994"/>
        <w:gridCol w:w="994"/>
        <w:gridCol w:w="994"/>
      </w:tblGrid>
      <w:tr w:rsidR="004D3B36" w:rsidRPr="0083677E" w14:paraId="46D9F9D1" w14:textId="77777777" w:rsidTr="00C2013B">
        <w:tc>
          <w:tcPr>
            <w:tcW w:w="959" w:type="dxa"/>
            <w:vMerge w:val="restart"/>
          </w:tcPr>
          <w:p w14:paraId="204C1C08" w14:textId="77777777" w:rsidR="004D3B36" w:rsidRPr="0083677E" w:rsidRDefault="004D3B36" w:rsidP="00F2222F">
            <w:pPr>
              <w:pStyle w:val="TableText"/>
            </w:pPr>
          </w:p>
        </w:tc>
        <w:tc>
          <w:tcPr>
            <w:tcW w:w="1486" w:type="dxa"/>
            <w:shd w:val="clear" w:color="auto" w:fill="auto"/>
          </w:tcPr>
          <w:p w14:paraId="22DC29B0" w14:textId="77777777" w:rsidR="004D3B36" w:rsidRPr="0083677E" w:rsidRDefault="004D3B36" w:rsidP="00DE310E">
            <w:pPr>
              <w:pStyle w:val="TableHeadingWhiteFont"/>
            </w:pPr>
          </w:p>
        </w:tc>
        <w:tc>
          <w:tcPr>
            <w:tcW w:w="4970" w:type="dxa"/>
            <w:gridSpan w:val="5"/>
            <w:shd w:val="clear" w:color="auto" w:fill="00BAD4" w:themeFill="text2"/>
          </w:tcPr>
          <w:p w14:paraId="7338030D" w14:textId="77777777" w:rsidR="004D3B36" w:rsidRPr="0083677E" w:rsidRDefault="004D3B36" w:rsidP="002A4734">
            <w:pPr>
              <w:pStyle w:val="TableHeadingWhiteFont"/>
            </w:pPr>
            <w:r w:rsidRPr="0083677E">
              <w:t>Consequence ratings</w:t>
            </w:r>
          </w:p>
        </w:tc>
      </w:tr>
      <w:tr w:rsidR="004D3B36" w:rsidRPr="0083677E" w14:paraId="25EAFBF2" w14:textId="77777777" w:rsidTr="00C36150">
        <w:tc>
          <w:tcPr>
            <w:tcW w:w="959" w:type="dxa"/>
            <w:vMerge/>
          </w:tcPr>
          <w:p w14:paraId="33519693" w14:textId="77777777" w:rsidR="004D3B36" w:rsidRPr="0083677E" w:rsidRDefault="004D3B36" w:rsidP="00F2222F">
            <w:pPr>
              <w:pStyle w:val="TableText"/>
            </w:pPr>
          </w:p>
        </w:tc>
        <w:tc>
          <w:tcPr>
            <w:tcW w:w="1486" w:type="dxa"/>
          </w:tcPr>
          <w:p w14:paraId="5C0A6276" w14:textId="77777777" w:rsidR="004D3B36" w:rsidRPr="0083677E" w:rsidRDefault="004D3B36" w:rsidP="00DE310E">
            <w:pPr>
              <w:pStyle w:val="TableText"/>
            </w:pPr>
          </w:p>
        </w:tc>
        <w:tc>
          <w:tcPr>
            <w:tcW w:w="994" w:type="dxa"/>
            <w:shd w:val="clear" w:color="auto" w:fill="E4E1DF" w:themeFill="accent4" w:themeFillTint="33"/>
            <w:tcMar>
              <w:left w:w="28" w:type="dxa"/>
              <w:right w:w="28" w:type="dxa"/>
            </w:tcMar>
            <w:vAlign w:val="center"/>
          </w:tcPr>
          <w:p w14:paraId="157039A3" w14:textId="77777777" w:rsidR="004D3B36" w:rsidRPr="0083677E" w:rsidRDefault="004D3B36" w:rsidP="00C36150">
            <w:pPr>
              <w:pStyle w:val="TableText"/>
              <w:jc w:val="center"/>
            </w:pPr>
            <w:r w:rsidRPr="0083677E">
              <w:t>Negligible</w:t>
            </w:r>
          </w:p>
        </w:tc>
        <w:tc>
          <w:tcPr>
            <w:tcW w:w="994" w:type="dxa"/>
            <w:shd w:val="clear" w:color="auto" w:fill="E4E1DF" w:themeFill="accent4" w:themeFillTint="33"/>
            <w:tcMar>
              <w:left w:w="28" w:type="dxa"/>
              <w:right w:w="28" w:type="dxa"/>
            </w:tcMar>
            <w:vAlign w:val="center"/>
          </w:tcPr>
          <w:p w14:paraId="0D5FE3DB" w14:textId="77777777" w:rsidR="004D3B36" w:rsidRPr="0083677E" w:rsidRDefault="004D3B36" w:rsidP="00C36150">
            <w:pPr>
              <w:pStyle w:val="TableText"/>
              <w:jc w:val="center"/>
            </w:pPr>
            <w:r w:rsidRPr="0083677E">
              <w:t>Minor</w:t>
            </w:r>
          </w:p>
        </w:tc>
        <w:tc>
          <w:tcPr>
            <w:tcW w:w="994" w:type="dxa"/>
            <w:shd w:val="clear" w:color="auto" w:fill="E4E1DF" w:themeFill="accent4" w:themeFillTint="33"/>
            <w:tcMar>
              <w:left w:w="28" w:type="dxa"/>
              <w:right w:w="28" w:type="dxa"/>
            </w:tcMar>
            <w:vAlign w:val="center"/>
          </w:tcPr>
          <w:p w14:paraId="32B50088" w14:textId="77777777" w:rsidR="004D3B36" w:rsidRPr="0083677E" w:rsidRDefault="004D3B36" w:rsidP="00C36150">
            <w:pPr>
              <w:pStyle w:val="TableText"/>
              <w:jc w:val="center"/>
            </w:pPr>
            <w:r w:rsidRPr="0083677E">
              <w:t>Moderate</w:t>
            </w:r>
          </w:p>
        </w:tc>
        <w:tc>
          <w:tcPr>
            <w:tcW w:w="994" w:type="dxa"/>
            <w:shd w:val="clear" w:color="auto" w:fill="E4E1DF" w:themeFill="accent4" w:themeFillTint="33"/>
            <w:tcMar>
              <w:left w:w="28" w:type="dxa"/>
              <w:right w:w="28" w:type="dxa"/>
            </w:tcMar>
            <w:vAlign w:val="center"/>
          </w:tcPr>
          <w:p w14:paraId="64E22F2E" w14:textId="77777777" w:rsidR="004D3B36" w:rsidRPr="0083677E" w:rsidRDefault="004D3B36" w:rsidP="00C36150">
            <w:pPr>
              <w:pStyle w:val="TableText"/>
              <w:jc w:val="center"/>
            </w:pPr>
            <w:r w:rsidRPr="0083677E">
              <w:t>Major</w:t>
            </w:r>
          </w:p>
        </w:tc>
        <w:tc>
          <w:tcPr>
            <w:tcW w:w="994" w:type="dxa"/>
            <w:shd w:val="clear" w:color="auto" w:fill="E4E1DF" w:themeFill="accent4" w:themeFillTint="33"/>
            <w:tcMar>
              <w:left w:w="28" w:type="dxa"/>
              <w:right w:w="28" w:type="dxa"/>
            </w:tcMar>
            <w:vAlign w:val="center"/>
          </w:tcPr>
          <w:p w14:paraId="5438E661" w14:textId="77777777" w:rsidR="004D3B36" w:rsidRPr="0083677E" w:rsidRDefault="004D3B36" w:rsidP="00C36150">
            <w:pPr>
              <w:pStyle w:val="TableText"/>
              <w:jc w:val="center"/>
            </w:pPr>
            <w:r w:rsidRPr="0083677E">
              <w:t>Severe</w:t>
            </w:r>
          </w:p>
        </w:tc>
      </w:tr>
      <w:tr w:rsidR="004D3B36" w:rsidRPr="0083677E" w14:paraId="0ACD2A6F" w14:textId="77777777" w:rsidTr="00C36150">
        <w:tc>
          <w:tcPr>
            <w:tcW w:w="959" w:type="dxa"/>
            <w:vMerge w:val="restart"/>
            <w:shd w:val="clear" w:color="auto" w:fill="00BAD4" w:themeFill="text2"/>
            <w:tcMar>
              <w:right w:w="28" w:type="dxa"/>
            </w:tcMar>
            <w:vAlign w:val="center"/>
          </w:tcPr>
          <w:p w14:paraId="42D02B2F" w14:textId="77777777" w:rsidR="004D3B36" w:rsidRPr="0083677E" w:rsidRDefault="004D3B36" w:rsidP="004D3B36">
            <w:pPr>
              <w:pStyle w:val="TableHeadingWhiteFont"/>
            </w:pPr>
            <w:r w:rsidRPr="0083677E">
              <w:t>Likelihood rating</w:t>
            </w:r>
          </w:p>
        </w:tc>
        <w:tc>
          <w:tcPr>
            <w:tcW w:w="1486" w:type="dxa"/>
            <w:shd w:val="clear" w:color="auto" w:fill="EDEBE9" w:themeFill="accent3" w:themeFillTint="33"/>
          </w:tcPr>
          <w:p w14:paraId="471593B9" w14:textId="77777777" w:rsidR="004D3B36" w:rsidRPr="0083677E" w:rsidRDefault="004D3B36" w:rsidP="00DE310E">
            <w:pPr>
              <w:pStyle w:val="TableText"/>
            </w:pPr>
            <w:r w:rsidRPr="0083677E">
              <w:t>Rare</w:t>
            </w:r>
          </w:p>
        </w:tc>
        <w:tc>
          <w:tcPr>
            <w:tcW w:w="994" w:type="dxa"/>
            <w:shd w:val="clear" w:color="auto" w:fill="00B0F0"/>
            <w:vAlign w:val="center"/>
          </w:tcPr>
          <w:p w14:paraId="21D0FE65" w14:textId="77777777" w:rsidR="004D3B36" w:rsidRPr="0083677E" w:rsidRDefault="004D3B36" w:rsidP="00C36150">
            <w:pPr>
              <w:pStyle w:val="TableText"/>
              <w:jc w:val="center"/>
              <w:rPr>
                <w:color w:val="FFFFFF" w:themeColor="background1"/>
              </w:rPr>
            </w:pPr>
            <w:r w:rsidRPr="0083677E">
              <w:rPr>
                <w:color w:val="FFFFFF" w:themeColor="background1"/>
              </w:rPr>
              <w:t>Very Low</w:t>
            </w:r>
          </w:p>
        </w:tc>
        <w:tc>
          <w:tcPr>
            <w:tcW w:w="994" w:type="dxa"/>
            <w:shd w:val="clear" w:color="auto" w:fill="00B0F0"/>
            <w:vAlign w:val="center"/>
          </w:tcPr>
          <w:p w14:paraId="69BC2887" w14:textId="77777777" w:rsidR="004D3B36" w:rsidRPr="0083677E" w:rsidRDefault="004D3B36" w:rsidP="00C36150">
            <w:pPr>
              <w:pStyle w:val="TableText"/>
              <w:jc w:val="center"/>
              <w:rPr>
                <w:color w:val="FFFFFF" w:themeColor="background1"/>
              </w:rPr>
            </w:pPr>
            <w:r w:rsidRPr="0083677E">
              <w:rPr>
                <w:color w:val="FFFFFF" w:themeColor="background1"/>
              </w:rPr>
              <w:t>Very Low</w:t>
            </w:r>
          </w:p>
        </w:tc>
        <w:tc>
          <w:tcPr>
            <w:tcW w:w="994" w:type="dxa"/>
            <w:shd w:val="clear" w:color="auto" w:fill="C4D92E" w:themeFill="accent1"/>
            <w:vAlign w:val="center"/>
          </w:tcPr>
          <w:p w14:paraId="726BB9F4" w14:textId="77777777" w:rsidR="004D3B36" w:rsidRPr="0083677E" w:rsidRDefault="004D3B36" w:rsidP="00C36150">
            <w:pPr>
              <w:pStyle w:val="TableText"/>
              <w:jc w:val="center"/>
            </w:pPr>
            <w:r w:rsidRPr="0083677E">
              <w:t>Low</w:t>
            </w:r>
          </w:p>
        </w:tc>
        <w:tc>
          <w:tcPr>
            <w:tcW w:w="994" w:type="dxa"/>
            <w:shd w:val="clear" w:color="auto" w:fill="FFE72E" w:themeFill="accent2"/>
            <w:vAlign w:val="center"/>
          </w:tcPr>
          <w:p w14:paraId="29C9A999" w14:textId="77777777" w:rsidR="004D3B36" w:rsidRPr="0083677E" w:rsidRDefault="004D3B36" w:rsidP="00C36150">
            <w:pPr>
              <w:pStyle w:val="TableText"/>
              <w:jc w:val="center"/>
            </w:pPr>
            <w:r w:rsidRPr="0083677E">
              <w:t>Medium</w:t>
            </w:r>
          </w:p>
        </w:tc>
        <w:tc>
          <w:tcPr>
            <w:tcW w:w="994" w:type="dxa"/>
            <w:shd w:val="clear" w:color="auto" w:fill="FFE72E" w:themeFill="accent2"/>
            <w:vAlign w:val="center"/>
          </w:tcPr>
          <w:p w14:paraId="387C120C" w14:textId="77777777" w:rsidR="004D3B36" w:rsidRPr="0083677E" w:rsidRDefault="004D3B36" w:rsidP="00C36150">
            <w:pPr>
              <w:pStyle w:val="TableText"/>
              <w:jc w:val="center"/>
            </w:pPr>
            <w:r w:rsidRPr="0083677E">
              <w:t>Medium</w:t>
            </w:r>
          </w:p>
        </w:tc>
      </w:tr>
      <w:tr w:rsidR="004D3B36" w:rsidRPr="0083677E" w14:paraId="7B295E36" w14:textId="77777777" w:rsidTr="00C36150">
        <w:tc>
          <w:tcPr>
            <w:tcW w:w="959" w:type="dxa"/>
            <w:vMerge/>
            <w:shd w:val="clear" w:color="auto" w:fill="00BAD4" w:themeFill="text2"/>
          </w:tcPr>
          <w:p w14:paraId="7BE19027" w14:textId="77777777" w:rsidR="004D3B36" w:rsidRPr="0083677E" w:rsidRDefault="004D3B36" w:rsidP="00F2222F">
            <w:pPr>
              <w:pStyle w:val="TableText"/>
            </w:pPr>
          </w:p>
        </w:tc>
        <w:tc>
          <w:tcPr>
            <w:tcW w:w="1486" w:type="dxa"/>
            <w:shd w:val="clear" w:color="auto" w:fill="EDEBE9" w:themeFill="accent3" w:themeFillTint="33"/>
          </w:tcPr>
          <w:p w14:paraId="17643257" w14:textId="77777777" w:rsidR="004D3B36" w:rsidRPr="0083677E" w:rsidRDefault="004D3B36" w:rsidP="00DE310E">
            <w:pPr>
              <w:pStyle w:val="TableText"/>
            </w:pPr>
            <w:r w:rsidRPr="0083677E">
              <w:t>Unlikely</w:t>
            </w:r>
          </w:p>
        </w:tc>
        <w:tc>
          <w:tcPr>
            <w:tcW w:w="994" w:type="dxa"/>
            <w:shd w:val="clear" w:color="auto" w:fill="00B0F0"/>
            <w:vAlign w:val="center"/>
          </w:tcPr>
          <w:p w14:paraId="79EBE4FB" w14:textId="77777777" w:rsidR="004D3B36" w:rsidRPr="0083677E" w:rsidRDefault="004D3B36" w:rsidP="00C36150">
            <w:pPr>
              <w:pStyle w:val="TableText"/>
              <w:jc w:val="center"/>
              <w:rPr>
                <w:color w:val="FFFFFF" w:themeColor="background1"/>
              </w:rPr>
            </w:pPr>
            <w:r w:rsidRPr="0083677E">
              <w:rPr>
                <w:color w:val="FFFFFF" w:themeColor="background1"/>
              </w:rPr>
              <w:t>Very Low</w:t>
            </w:r>
          </w:p>
        </w:tc>
        <w:tc>
          <w:tcPr>
            <w:tcW w:w="994" w:type="dxa"/>
            <w:shd w:val="clear" w:color="auto" w:fill="C4D92E" w:themeFill="accent1"/>
            <w:vAlign w:val="center"/>
          </w:tcPr>
          <w:p w14:paraId="69BC65EB" w14:textId="77777777" w:rsidR="004D3B36" w:rsidRPr="0083677E" w:rsidRDefault="004D3B36" w:rsidP="00C36150">
            <w:pPr>
              <w:pStyle w:val="TableText"/>
              <w:jc w:val="center"/>
            </w:pPr>
            <w:r w:rsidRPr="0083677E">
              <w:t>Low</w:t>
            </w:r>
          </w:p>
        </w:tc>
        <w:tc>
          <w:tcPr>
            <w:tcW w:w="994" w:type="dxa"/>
            <w:shd w:val="clear" w:color="auto" w:fill="C4D92E" w:themeFill="accent1"/>
            <w:vAlign w:val="center"/>
          </w:tcPr>
          <w:p w14:paraId="7B9EE892" w14:textId="77777777" w:rsidR="004D3B36" w:rsidRPr="0083677E" w:rsidRDefault="004D3B36" w:rsidP="00C36150">
            <w:pPr>
              <w:pStyle w:val="TableText"/>
              <w:jc w:val="center"/>
            </w:pPr>
            <w:r w:rsidRPr="0083677E">
              <w:t>Low</w:t>
            </w:r>
          </w:p>
        </w:tc>
        <w:tc>
          <w:tcPr>
            <w:tcW w:w="994" w:type="dxa"/>
            <w:shd w:val="clear" w:color="auto" w:fill="FFE72E" w:themeFill="accent2"/>
            <w:vAlign w:val="center"/>
          </w:tcPr>
          <w:p w14:paraId="1A4D2114" w14:textId="77777777" w:rsidR="004D3B36" w:rsidRPr="0083677E" w:rsidRDefault="004D3B36" w:rsidP="00C36150">
            <w:pPr>
              <w:pStyle w:val="TableText"/>
              <w:jc w:val="center"/>
            </w:pPr>
            <w:r w:rsidRPr="0083677E">
              <w:t>Medium</w:t>
            </w:r>
          </w:p>
        </w:tc>
        <w:tc>
          <w:tcPr>
            <w:tcW w:w="994" w:type="dxa"/>
            <w:shd w:val="clear" w:color="auto" w:fill="FFC000"/>
            <w:vAlign w:val="center"/>
          </w:tcPr>
          <w:p w14:paraId="1BFAAF72" w14:textId="77777777" w:rsidR="004D3B36" w:rsidRPr="0083677E" w:rsidRDefault="004D3B36" w:rsidP="00C36150">
            <w:pPr>
              <w:pStyle w:val="TableText"/>
              <w:jc w:val="center"/>
            </w:pPr>
            <w:r w:rsidRPr="0083677E">
              <w:t>High</w:t>
            </w:r>
          </w:p>
        </w:tc>
      </w:tr>
      <w:tr w:rsidR="004D3B36" w:rsidRPr="0083677E" w14:paraId="14359CFB" w14:textId="77777777" w:rsidTr="00C36150">
        <w:tc>
          <w:tcPr>
            <w:tcW w:w="959" w:type="dxa"/>
            <w:vMerge/>
            <w:shd w:val="clear" w:color="auto" w:fill="00BAD4" w:themeFill="text2"/>
          </w:tcPr>
          <w:p w14:paraId="7D10277D" w14:textId="77777777" w:rsidR="004D3B36" w:rsidRPr="0083677E" w:rsidRDefault="004D3B36" w:rsidP="00F2222F">
            <w:pPr>
              <w:pStyle w:val="TableText"/>
            </w:pPr>
          </w:p>
        </w:tc>
        <w:tc>
          <w:tcPr>
            <w:tcW w:w="1486" w:type="dxa"/>
            <w:shd w:val="clear" w:color="auto" w:fill="EDEBE9" w:themeFill="accent3" w:themeFillTint="33"/>
          </w:tcPr>
          <w:p w14:paraId="6FC7D993" w14:textId="77777777" w:rsidR="004D3B36" w:rsidRPr="0083677E" w:rsidRDefault="004D3B36" w:rsidP="00DE310E">
            <w:pPr>
              <w:pStyle w:val="TableText"/>
            </w:pPr>
            <w:r w:rsidRPr="0083677E">
              <w:t>Possible</w:t>
            </w:r>
          </w:p>
        </w:tc>
        <w:tc>
          <w:tcPr>
            <w:tcW w:w="994" w:type="dxa"/>
            <w:shd w:val="clear" w:color="auto" w:fill="C4D92E" w:themeFill="accent1"/>
            <w:vAlign w:val="center"/>
          </w:tcPr>
          <w:p w14:paraId="60F2BD48" w14:textId="77777777" w:rsidR="004D3B36" w:rsidRPr="0083677E" w:rsidRDefault="004D3B36" w:rsidP="00C36150">
            <w:pPr>
              <w:pStyle w:val="TableText"/>
              <w:jc w:val="center"/>
            </w:pPr>
            <w:r w:rsidRPr="0083677E">
              <w:t>Low</w:t>
            </w:r>
          </w:p>
        </w:tc>
        <w:tc>
          <w:tcPr>
            <w:tcW w:w="994" w:type="dxa"/>
            <w:shd w:val="clear" w:color="auto" w:fill="C4D92E" w:themeFill="accent1"/>
            <w:vAlign w:val="center"/>
          </w:tcPr>
          <w:p w14:paraId="5B546E1D" w14:textId="77777777" w:rsidR="004D3B36" w:rsidRPr="0083677E" w:rsidRDefault="004D3B36" w:rsidP="00C36150">
            <w:pPr>
              <w:pStyle w:val="TableText"/>
              <w:jc w:val="center"/>
            </w:pPr>
            <w:r w:rsidRPr="0083677E">
              <w:t>Low</w:t>
            </w:r>
          </w:p>
        </w:tc>
        <w:tc>
          <w:tcPr>
            <w:tcW w:w="994" w:type="dxa"/>
            <w:shd w:val="clear" w:color="auto" w:fill="FFE72E" w:themeFill="accent2"/>
            <w:vAlign w:val="center"/>
          </w:tcPr>
          <w:p w14:paraId="51112B25" w14:textId="77777777" w:rsidR="004D3B36" w:rsidRPr="0083677E" w:rsidRDefault="004D3B36" w:rsidP="00C36150">
            <w:pPr>
              <w:pStyle w:val="TableText"/>
              <w:jc w:val="center"/>
            </w:pPr>
            <w:r w:rsidRPr="0083677E">
              <w:t>Medium</w:t>
            </w:r>
          </w:p>
        </w:tc>
        <w:tc>
          <w:tcPr>
            <w:tcW w:w="994" w:type="dxa"/>
            <w:shd w:val="clear" w:color="auto" w:fill="FFC000"/>
            <w:vAlign w:val="center"/>
          </w:tcPr>
          <w:p w14:paraId="1AB117C4" w14:textId="77777777" w:rsidR="004D3B36" w:rsidRPr="0083677E" w:rsidRDefault="004D3B36" w:rsidP="00C36150">
            <w:pPr>
              <w:pStyle w:val="TableText"/>
              <w:jc w:val="center"/>
            </w:pPr>
            <w:r w:rsidRPr="0083677E">
              <w:t>High</w:t>
            </w:r>
          </w:p>
        </w:tc>
        <w:tc>
          <w:tcPr>
            <w:tcW w:w="994" w:type="dxa"/>
            <w:shd w:val="clear" w:color="auto" w:fill="FFC000"/>
            <w:vAlign w:val="center"/>
          </w:tcPr>
          <w:p w14:paraId="16E96E35" w14:textId="77777777" w:rsidR="004D3B36" w:rsidRPr="0083677E" w:rsidRDefault="004D3B36" w:rsidP="00C36150">
            <w:pPr>
              <w:pStyle w:val="TableText"/>
              <w:jc w:val="center"/>
            </w:pPr>
            <w:r w:rsidRPr="0083677E">
              <w:t>High</w:t>
            </w:r>
          </w:p>
        </w:tc>
      </w:tr>
      <w:tr w:rsidR="004D3B36" w:rsidRPr="0083677E" w14:paraId="2934C9F7" w14:textId="77777777" w:rsidTr="00C36150">
        <w:tc>
          <w:tcPr>
            <w:tcW w:w="959" w:type="dxa"/>
            <w:vMerge/>
            <w:shd w:val="clear" w:color="auto" w:fill="00BAD4" w:themeFill="text2"/>
          </w:tcPr>
          <w:p w14:paraId="67D405B9" w14:textId="77777777" w:rsidR="004D3B36" w:rsidRPr="0083677E" w:rsidRDefault="004D3B36" w:rsidP="00F2222F">
            <w:pPr>
              <w:pStyle w:val="TableText"/>
            </w:pPr>
          </w:p>
        </w:tc>
        <w:tc>
          <w:tcPr>
            <w:tcW w:w="1486" w:type="dxa"/>
            <w:shd w:val="clear" w:color="auto" w:fill="EDEBE9" w:themeFill="accent3" w:themeFillTint="33"/>
          </w:tcPr>
          <w:p w14:paraId="4BEC816B" w14:textId="77777777" w:rsidR="004D3B36" w:rsidRPr="0083677E" w:rsidRDefault="004D3B36" w:rsidP="00DE310E">
            <w:pPr>
              <w:pStyle w:val="TableText"/>
            </w:pPr>
            <w:r w:rsidRPr="0083677E">
              <w:t>Likely</w:t>
            </w:r>
          </w:p>
        </w:tc>
        <w:tc>
          <w:tcPr>
            <w:tcW w:w="994" w:type="dxa"/>
            <w:shd w:val="clear" w:color="auto" w:fill="C4D92E" w:themeFill="accent1"/>
            <w:vAlign w:val="center"/>
          </w:tcPr>
          <w:p w14:paraId="4B2DBF56" w14:textId="77777777" w:rsidR="004D3B36" w:rsidRPr="0083677E" w:rsidRDefault="004D3B36" w:rsidP="00C36150">
            <w:pPr>
              <w:pStyle w:val="TableText"/>
              <w:jc w:val="center"/>
            </w:pPr>
            <w:r w:rsidRPr="0083677E">
              <w:t>Low</w:t>
            </w:r>
          </w:p>
        </w:tc>
        <w:tc>
          <w:tcPr>
            <w:tcW w:w="994" w:type="dxa"/>
            <w:shd w:val="clear" w:color="auto" w:fill="FFE72E" w:themeFill="accent2"/>
            <w:vAlign w:val="center"/>
          </w:tcPr>
          <w:p w14:paraId="35121B70" w14:textId="77777777" w:rsidR="004D3B36" w:rsidRPr="0083677E" w:rsidRDefault="004D3B36" w:rsidP="00C36150">
            <w:pPr>
              <w:pStyle w:val="TableText"/>
              <w:jc w:val="center"/>
            </w:pPr>
            <w:r w:rsidRPr="0083677E">
              <w:t>Medium</w:t>
            </w:r>
          </w:p>
        </w:tc>
        <w:tc>
          <w:tcPr>
            <w:tcW w:w="994" w:type="dxa"/>
            <w:shd w:val="clear" w:color="auto" w:fill="FFE72E" w:themeFill="accent2"/>
            <w:vAlign w:val="center"/>
          </w:tcPr>
          <w:p w14:paraId="12B35F52" w14:textId="77777777" w:rsidR="004D3B36" w:rsidRPr="0083677E" w:rsidRDefault="004D3B36" w:rsidP="00C36150">
            <w:pPr>
              <w:pStyle w:val="TableText"/>
              <w:jc w:val="center"/>
            </w:pPr>
            <w:r w:rsidRPr="0083677E">
              <w:t>Medium</w:t>
            </w:r>
          </w:p>
        </w:tc>
        <w:tc>
          <w:tcPr>
            <w:tcW w:w="994" w:type="dxa"/>
            <w:shd w:val="clear" w:color="auto" w:fill="FFC000"/>
            <w:tcMar>
              <w:left w:w="28" w:type="dxa"/>
              <w:right w:w="28" w:type="dxa"/>
            </w:tcMar>
            <w:vAlign w:val="center"/>
          </w:tcPr>
          <w:p w14:paraId="065C9925" w14:textId="77777777" w:rsidR="004D3B36" w:rsidRPr="0083677E" w:rsidRDefault="004D3B36" w:rsidP="00C36150">
            <w:pPr>
              <w:pStyle w:val="TableText"/>
              <w:jc w:val="center"/>
            </w:pPr>
            <w:r w:rsidRPr="0083677E">
              <w:t>High</w:t>
            </w:r>
          </w:p>
        </w:tc>
        <w:tc>
          <w:tcPr>
            <w:tcW w:w="994" w:type="dxa"/>
            <w:shd w:val="clear" w:color="auto" w:fill="E52923" w:themeFill="background2"/>
            <w:tcMar>
              <w:left w:w="28" w:type="dxa"/>
              <w:right w:w="28" w:type="dxa"/>
            </w:tcMar>
            <w:vAlign w:val="center"/>
          </w:tcPr>
          <w:p w14:paraId="296BD771" w14:textId="77777777" w:rsidR="004D3B36" w:rsidRPr="0083677E" w:rsidRDefault="004D3B36" w:rsidP="00C36150">
            <w:pPr>
              <w:pStyle w:val="TableText"/>
              <w:jc w:val="center"/>
              <w:rPr>
                <w:color w:val="FFFFFF" w:themeColor="background1"/>
              </w:rPr>
            </w:pPr>
            <w:r w:rsidRPr="0083677E">
              <w:rPr>
                <w:color w:val="FFFFFF" w:themeColor="background1"/>
              </w:rPr>
              <w:t>Very High</w:t>
            </w:r>
          </w:p>
        </w:tc>
      </w:tr>
      <w:tr w:rsidR="004D3B36" w:rsidRPr="0083677E" w14:paraId="614BE0C4" w14:textId="77777777" w:rsidTr="00C36150">
        <w:tc>
          <w:tcPr>
            <w:tcW w:w="959" w:type="dxa"/>
            <w:vMerge/>
            <w:shd w:val="clear" w:color="auto" w:fill="00BAD4" w:themeFill="text2"/>
          </w:tcPr>
          <w:p w14:paraId="6934E03F" w14:textId="77777777" w:rsidR="004D3B36" w:rsidRPr="0083677E" w:rsidRDefault="004D3B36" w:rsidP="00F2222F">
            <w:pPr>
              <w:pStyle w:val="TableText"/>
            </w:pPr>
          </w:p>
        </w:tc>
        <w:tc>
          <w:tcPr>
            <w:tcW w:w="1486" w:type="dxa"/>
            <w:shd w:val="clear" w:color="auto" w:fill="EDEBE9" w:themeFill="accent3" w:themeFillTint="33"/>
          </w:tcPr>
          <w:p w14:paraId="2C8BB0B9" w14:textId="77777777" w:rsidR="004D3B36" w:rsidRPr="0083677E" w:rsidRDefault="004D3B36" w:rsidP="00DE310E">
            <w:pPr>
              <w:pStyle w:val="TableText"/>
            </w:pPr>
            <w:r w:rsidRPr="0083677E">
              <w:t>Almost Certain</w:t>
            </w:r>
          </w:p>
        </w:tc>
        <w:tc>
          <w:tcPr>
            <w:tcW w:w="994" w:type="dxa"/>
            <w:shd w:val="clear" w:color="auto" w:fill="C4D92E" w:themeFill="accent1"/>
            <w:vAlign w:val="center"/>
          </w:tcPr>
          <w:p w14:paraId="060768E6" w14:textId="77777777" w:rsidR="004D3B36" w:rsidRPr="0083677E" w:rsidRDefault="004D3B36" w:rsidP="00C36150">
            <w:pPr>
              <w:pStyle w:val="TableText"/>
              <w:jc w:val="center"/>
            </w:pPr>
            <w:r w:rsidRPr="0083677E">
              <w:t>Low</w:t>
            </w:r>
          </w:p>
        </w:tc>
        <w:tc>
          <w:tcPr>
            <w:tcW w:w="994" w:type="dxa"/>
            <w:shd w:val="clear" w:color="auto" w:fill="FFE72E" w:themeFill="accent2"/>
            <w:vAlign w:val="center"/>
          </w:tcPr>
          <w:p w14:paraId="6550022A" w14:textId="77777777" w:rsidR="004D3B36" w:rsidRPr="0083677E" w:rsidRDefault="004D3B36" w:rsidP="00C36150">
            <w:pPr>
              <w:pStyle w:val="TableText"/>
              <w:jc w:val="center"/>
            </w:pPr>
            <w:r w:rsidRPr="0083677E">
              <w:t>Medium</w:t>
            </w:r>
          </w:p>
        </w:tc>
        <w:tc>
          <w:tcPr>
            <w:tcW w:w="994" w:type="dxa"/>
            <w:shd w:val="clear" w:color="auto" w:fill="FFC000"/>
            <w:vAlign w:val="center"/>
          </w:tcPr>
          <w:p w14:paraId="496FF174" w14:textId="77777777" w:rsidR="004D3B36" w:rsidRPr="0083677E" w:rsidRDefault="004D3B36" w:rsidP="00C36150">
            <w:pPr>
              <w:pStyle w:val="TableText"/>
              <w:jc w:val="center"/>
            </w:pPr>
            <w:r w:rsidRPr="0083677E">
              <w:t>High</w:t>
            </w:r>
          </w:p>
        </w:tc>
        <w:tc>
          <w:tcPr>
            <w:tcW w:w="994" w:type="dxa"/>
            <w:shd w:val="clear" w:color="auto" w:fill="E52923" w:themeFill="background2"/>
            <w:tcMar>
              <w:left w:w="28" w:type="dxa"/>
              <w:right w:w="28" w:type="dxa"/>
            </w:tcMar>
            <w:vAlign w:val="center"/>
          </w:tcPr>
          <w:p w14:paraId="668ED411" w14:textId="77777777" w:rsidR="004D3B36" w:rsidRPr="0083677E" w:rsidRDefault="004D3B36" w:rsidP="00C36150">
            <w:pPr>
              <w:pStyle w:val="TableText"/>
              <w:jc w:val="center"/>
              <w:rPr>
                <w:color w:val="FFFFFF" w:themeColor="background1"/>
              </w:rPr>
            </w:pPr>
            <w:r w:rsidRPr="0083677E">
              <w:rPr>
                <w:color w:val="FFFFFF" w:themeColor="background1"/>
              </w:rPr>
              <w:t>Very High</w:t>
            </w:r>
          </w:p>
        </w:tc>
        <w:tc>
          <w:tcPr>
            <w:tcW w:w="994" w:type="dxa"/>
            <w:shd w:val="clear" w:color="auto" w:fill="E52923" w:themeFill="background2"/>
            <w:tcMar>
              <w:left w:w="28" w:type="dxa"/>
              <w:right w:w="28" w:type="dxa"/>
            </w:tcMar>
            <w:vAlign w:val="center"/>
          </w:tcPr>
          <w:p w14:paraId="106A83B8" w14:textId="77777777" w:rsidR="004D3B36" w:rsidRPr="0083677E" w:rsidRDefault="004D3B36" w:rsidP="00C36150">
            <w:pPr>
              <w:pStyle w:val="TableText"/>
              <w:jc w:val="center"/>
              <w:rPr>
                <w:color w:val="FFFFFF" w:themeColor="background1"/>
              </w:rPr>
            </w:pPr>
            <w:r w:rsidRPr="0083677E">
              <w:rPr>
                <w:color w:val="FFFFFF" w:themeColor="background1"/>
              </w:rPr>
              <w:t>Very High</w:t>
            </w:r>
          </w:p>
        </w:tc>
      </w:tr>
    </w:tbl>
    <w:p w14:paraId="70F3C303" w14:textId="77777777" w:rsidR="00C126EB" w:rsidRPr="0083677E" w:rsidRDefault="00C126EB" w:rsidP="00C126EB">
      <w:pPr>
        <w:pStyle w:val="Source"/>
      </w:pPr>
      <w:bookmarkStart w:id="19" w:name="_Ref447240895"/>
    </w:p>
    <w:p w14:paraId="479FE33A" w14:textId="77777777" w:rsidR="00D94D81" w:rsidRPr="0083677E" w:rsidRDefault="00D94D81" w:rsidP="004D3B36">
      <w:pPr>
        <w:pStyle w:val="Heading2"/>
      </w:pPr>
      <w:bookmarkStart w:id="20" w:name="_Ref448608776"/>
      <w:bookmarkStart w:id="21" w:name="_Toc450894357"/>
      <w:r w:rsidRPr="0083677E">
        <w:t>Scope of Specialist Studies</w:t>
      </w:r>
      <w:bookmarkEnd w:id="19"/>
      <w:bookmarkEnd w:id="20"/>
      <w:bookmarkEnd w:id="21"/>
    </w:p>
    <w:p w14:paraId="5BDD0787" w14:textId="28CBDE2E" w:rsidR="00D94D81" w:rsidRDefault="00D94D81" w:rsidP="00D94D81">
      <w:pPr>
        <w:pStyle w:val="BodyText"/>
      </w:pPr>
      <w:r w:rsidRPr="0083677E">
        <w:t xml:space="preserve">The specialist studies conducted for the EES considered the risks and impacts associated with the construction and operation phases of the proposed </w:t>
      </w:r>
      <w:r w:rsidR="00D60FF7" w:rsidRPr="0083677E">
        <w:t xml:space="preserve">Melbourne Metro </w:t>
      </w:r>
      <w:r w:rsidRPr="0083677E">
        <w:t xml:space="preserve">at both the precinct (local) level and wider regional level, and recommended Environmental Performance Requirements to manage and mitigate impacts. Where appropriate, the studies also identified potential benefits from </w:t>
      </w:r>
      <w:r w:rsidR="00D60FF7" w:rsidRPr="0083677E">
        <w:t>Melbourne Metro</w:t>
      </w:r>
      <w:r w:rsidRPr="0083677E">
        <w:t xml:space="preserve">. </w:t>
      </w:r>
      <w:r w:rsidR="00EE2E47" w:rsidRPr="0083677E">
        <w:fldChar w:fldCharType="begin"/>
      </w:r>
      <w:r w:rsidR="004D3B36" w:rsidRPr="0083677E">
        <w:instrText xml:space="preserve"> REF _Ref444209699 \h </w:instrText>
      </w:r>
      <w:r w:rsidR="00EE2E47" w:rsidRPr="0083677E">
        <w:fldChar w:fldCharType="separate"/>
      </w:r>
      <w:r w:rsidR="005A6DF0" w:rsidRPr="0083677E">
        <w:t>Table </w:t>
      </w:r>
      <w:r w:rsidR="005A6DF0">
        <w:rPr>
          <w:noProof/>
          <w:cs/>
        </w:rPr>
        <w:t>‎</w:t>
      </w:r>
      <w:r w:rsidR="005A6DF0">
        <w:rPr>
          <w:noProof/>
        </w:rPr>
        <w:t>4</w:t>
      </w:r>
      <w:r w:rsidR="005A6DF0" w:rsidRPr="0083677E">
        <w:t>–</w:t>
      </w:r>
      <w:r w:rsidR="005A6DF0">
        <w:rPr>
          <w:noProof/>
        </w:rPr>
        <w:t>5</w:t>
      </w:r>
      <w:r w:rsidR="00EE2E47" w:rsidRPr="0083677E">
        <w:fldChar w:fldCharType="end"/>
      </w:r>
      <w:r w:rsidRPr="0083677E">
        <w:t xml:space="preserve"> summarises the scope of each study.</w:t>
      </w:r>
    </w:p>
    <w:p w14:paraId="08AF2EBD" w14:textId="0A07DF81" w:rsidR="00C10BE1" w:rsidRPr="0083677E" w:rsidRDefault="00C10BE1" w:rsidP="00D94D81">
      <w:pPr>
        <w:pStyle w:val="BodyText"/>
      </w:pPr>
      <w:r>
        <w:t xml:space="preserve">A number of specialist studies were peer reviewed. The </w:t>
      </w:r>
      <w:r w:rsidRPr="005852BB">
        <w:t xml:space="preserve">review </w:t>
      </w:r>
      <w:r>
        <w:t xml:space="preserve">considered </w:t>
      </w:r>
      <w:r w:rsidRPr="005852BB">
        <w:t xml:space="preserve">the assumptions, methodology, assessment criteria and scope applied in </w:t>
      </w:r>
      <w:r>
        <w:t>the</w:t>
      </w:r>
      <w:r w:rsidRPr="005852BB">
        <w:t xml:space="preserve"> report.  </w:t>
      </w:r>
      <w:r>
        <w:t>The peer reviews also</w:t>
      </w:r>
      <w:r w:rsidRPr="005852BB">
        <w:t xml:space="preserve"> addressed whether there were any additional matters which should be considered as part of the impact assessment in order to address the EES Scoping Requirements </w:t>
      </w:r>
      <w:r>
        <w:t xml:space="preserve">and </w:t>
      </w:r>
      <w:r w:rsidRPr="005852BB">
        <w:t xml:space="preserve">whether there are any gaps or matters where </w:t>
      </w:r>
      <w:r>
        <w:t xml:space="preserve">they </w:t>
      </w:r>
      <w:r w:rsidRPr="005852BB">
        <w:t>disagreed with this assessment.  The final peer review report</w:t>
      </w:r>
      <w:r>
        <w:t xml:space="preserve">s are appended to each of the reports. The studies that have been peer reviewed are outlined in </w:t>
      </w:r>
      <w:r>
        <w:fldChar w:fldCharType="begin"/>
      </w:r>
      <w:r>
        <w:instrText xml:space="preserve"> REF _Ref444209699 \h </w:instrText>
      </w:r>
      <w:r>
        <w:fldChar w:fldCharType="separate"/>
      </w:r>
      <w:r w:rsidR="005A6DF0" w:rsidRPr="0083677E">
        <w:t>Table </w:t>
      </w:r>
      <w:r w:rsidR="005A6DF0">
        <w:rPr>
          <w:noProof/>
          <w:cs/>
        </w:rPr>
        <w:t>‎</w:t>
      </w:r>
      <w:r w:rsidR="005A6DF0">
        <w:rPr>
          <w:noProof/>
        </w:rPr>
        <w:t>4</w:t>
      </w:r>
      <w:r w:rsidR="005A6DF0" w:rsidRPr="0083677E">
        <w:t>–</w:t>
      </w:r>
      <w:r w:rsidR="005A6DF0">
        <w:rPr>
          <w:noProof/>
        </w:rPr>
        <w:t>5</w:t>
      </w:r>
      <w:r>
        <w:fldChar w:fldCharType="end"/>
      </w:r>
      <w:r>
        <w:t>.</w:t>
      </w:r>
      <w:r w:rsidRPr="005852BB">
        <w:t xml:space="preserve"> </w:t>
      </w:r>
    </w:p>
    <w:p w14:paraId="4976AF9E" w14:textId="77777777" w:rsidR="00D94D81" w:rsidRPr="0083677E" w:rsidRDefault="004D3B36" w:rsidP="004D3B36">
      <w:pPr>
        <w:pStyle w:val="Caption"/>
      </w:pPr>
      <w:bookmarkStart w:id="22" w:name="_Ref444209699"/>
      <w:r w:rsidRPr="0083677E">
        <w:lastRenderedPageBreak/>
        <w:t>Table </w:t>
      </w:r>
      <w:r w:rsidR="00E920FA">
        <w:fldChar w:fldCharType="begin"/>
      </w:r>
      <w:r w:rsidR="00E920FA">
        <w:instrText xml:space="preserve"> STYLER</w:instrText>
      </w:r>
      <w:r w:rsidR="00E920FA">
        <w:instrText xml:space="preserve">EF 1 \s </w:instrText>
      </w:r>
      <w:r w:rsidR="00E920FA">
        <w:fldChar w:fldCharType="separate"/>
      </w:r>
      <w:r w:rsidR="005A6DF0">
        <w:rPr>
          <w:noProof/>
          <w:cs/>
        </w:rPr>
        <w:t>‎</w:t>
      </w:r>
      <w:r w:rsidR="005A6DF0">
        <w:rPr>
          <w:noProof/>
        </w:rPr>
        <w:t>4</w:t>
      </w:r>
      <w:r w:rsidR="00E920FA">
        <w:rPr>
          <w:noProof/>
        </w:rPr>
        <w:fldChar w:fldCharType="end"/>
      </w:r>
      <w:r w:rsidRPr="0083677E">
        <w:t>–</w:t>
      </w:r>
      <w:r w:rsidR="00E920FA">
        <w:fldChar w:fldCharType="begin"/>
      </w:r>
      <w:r w:rsidR="00E920FA">
        <w:instrText xml:space="preserve"> SEQ Table \* ARABIC \s 1 </w:instrText>
      </w:r>
      <w:r w:rsidR="00E920FA">
        <w:fldChar w:fldCharType="separate"/>
      </w:r>
      <w:r w:rsidR="005A6DF0">
        <w:rPr>
          <w:noProof/>
        </w:rPr>
        <w:t>5</w:t>
      </w:r>
      <w:r w:rsidR="00E920FA">
        <w:rPr>
          <w:noProof/>
        </w:rPr>
        <w:fldChar w:fldCharType="end"/>
      </w:r>
      <w:bookmarkEnd w:id="22"/>
      <w:r w:rsidRPr="0083677E">
        <w:tab/>
      </w:r>
      <w:r w:rsidR="00D94D81" w:rsidRPr="0083677E">
        <w:t>Scope of EES specialist studies</w:t>
      </w:r>
    </w:p>
    <w:tbl>
      <w:tblPr>
        <w:tblStyle w:val="MainTableStyle"/>
        <w:tblW w:w="0" w:type="auto"/>
        <w:tblLayout w:type="fixed"/>
        <w:tblLook w:val="06A0" w:firstRow="1" w:lastRow="0" w:firstColumn="1" w:lastColumn="0" w:noHBand="1" w:noVBand="1"/>
      </w:tblPr>
      <w:tblGrid>
        <w:gridCol w:w="1257"/>
        <w:gridCol w:w="1338"/>
        <w:gridCol w:w="4820"/>
      </w:tblGrid>
      <w:tr w:rsidR="004D3B36" w:rsidRPr="0083677E" w14:paraId="61B16FB1" w14:textId="77777777" w:rsidTr="00C20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93C179D" w14:textId="77777777" w:rsidR="004D3B36" w:rsidRPr="0083677E" w:rsidRDefault="004D3B36" w:rsidP="00C2013B">
            <w:pPr>
              <w:pStyle w:val="TableText"/>
            </w:pPr>
            <w:r w:rsidRPr="0083677E">
              <w:t>EES</w:t>
            </w:r>
            <w:r w:rsidR="00CF6B3F" w:rsidRPr="0083677E">
              <w:t xml:space="preserve"> Technical</w:t>
            </w:r>
            <w:r w:rsidRPr="0083677E">
              <w:t xml:space="preserve"> Appendix</w:t>
            </w:r>
          </w:p>
        </w:tc>
        <w:tc>
          <w:tcPr>
            <w:tcW w:w="1338" w:type="dxa"/>
          </w:tcPr>
          <w:p w14:paraId="4162CC5C" w14:textId="77777777" w:rsidR="004D3B36" w:rsidRPr="0083677E" w:rsidRDefault="004D3B36" w:rsidP="00C2013B">
            <w:pPr>
              <w:pStyle w:val="TableText"/>
              <w:cnfStyle w:val="100000000000" w:firstRow="1" w:lastRow="0" w:firstColumn="0" w:lastColumn="0" w:oddVBand="0" w:evenVBand="0" w:oddHBand="0" w:evenHBand="0" w:firstRowFirstColumn="0" w:firstRowLastColumn="0" w:lastRowFirstColumn="0" w:lastRowLastColumn="0"/>
            </w:pPr>
            <w:r w:rsidRPr="0083677E">
              <w:t>Study</w:t>
            </w:r>
          </w:p>
        </w:tc>
        <w:tc>
          <w:tcPr>
            <w:tcW w:w="4820" w:type="dxa"/>
          </w:tcPr>
          <w:p w14:paraId="0646B599" w14:textId="77777777" w:rsidR="004D3B36" w:rsidRPr="0083677E" w:rsidRDefault="004D3B36" w:rsidP="00C2013B">
            <w:pPr>
              <w:pStyle w:val="TableText"/>
              <w:cnfStyle w:val="100000000000" w:firstRow="1" w:lastRow="0" w:firstColumn="0" w:lastColumn="0" w:oddVBand="0" w:evenVBand="0" w:oddHBand="0" w:evenHBand="0" w:firstRowFirstColumn="0" w:firstRowLastColumn="0" w:lastRowFirstColumn="0" w:lastRowLastColumn="0"/>
            </w:pPr>
            <w:r w:rsidRPr="0083677E">
              <w:t>Scope</w:t>
            </w:r>
          </w:p>
        </w:tc>
      </w:tr>
      <w:tr w:rsidR="004D3B36" w:rsidRPr="0083677E" w14:paraId="285562F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6F16D395" w14:textId="77777777" w:rsidR="004D3B36" w:rsidRPr="0083677E" w:rsidRDefault="004D3B36" w:rsidP="00F2222F">
            <w:pPr>
              <w:pStyle w:val="TableText"/>
            </w:pPr>
            <w:r w:rsidRPr="0083677E">
              <w:t>Appendix D</w:t>
            </w:r>
          </w:p>
        </w:tc>
        <w:tc>
          <w:tcPr>
            <w:tcW w:w="1338" w:type="dxa"/>
          </w:tcPr>
          <w:p w14:paraId="59BFE5C0"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Transport</w:t>
            </w:r>
          </w:p>
        </w:tc>
        <w:tc>
          <w:tcPr>
            <w:tcW w:w="4820" w:type="dxa"/>
          </w:tcPr>
          <w:p w14:paraId="48BCB683" w14:textId="77777777" w:rsidR="004D3B36"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transport connectivity</w:t>
            </w:r>
            <w:r w:rsidRPr="0083677E">
              <w:t xml:space="preserve"> – including the impacts of additional trucks and construction traffic, closure of local roads, permanent changes to the road and public transport networks</w:t>
            </w:r>
            <w:r w:rsidR="00923FA7" w:rsidRPr="0083677E">
              <w:t>,</w:t>
            </w:r>
            <w:r w:rsidRPr="0083677E">
              <w:t xml:space="preserve"> and disruption to tram and bus services and walking and cycling routes</w:t>
            </w:r>
            <w:r w:rsidR="00C10BE1">
              <w:t>.</w:t>
            </w:r>
          </w:p>
          <w:p w14:paraId="31DDE2DF" w14:textId="6F32C6F7" w:rsidR="00C10BE1" w:rsidRPr="0083677E" w:rsidRDefault="00C10BE1" w:rsidP="00F2222F">
            <w:pPr>
              <w:pStyle w:val="TableText"/>
              <w:cnfStyle w:val="000000000000" w:firstRow="0" w:lastRow="0" w:firstColumn="0" w:lastColumn="0" w:oddVBand="0" w:evenVBand="0" w:oddHBand="0" w:evenHBand="0" w:firstRowFirstColumn="0" w:firstRowLastColumn="0" w:lastRowFirstColumn="0" w:lastRowLastColumn="0"/>
            </w:pPr>
            <w:r>
              <w:t>This study was peer reviewed</w:t>
            </w:r>
          </w:p>
        </w:tc>
      </w:tr>
      <w:tr w:rsidR="004D3B36" w:rsidRPr="0083677E" w14:paraId="0BFEB9F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6EC2BBC0" w14:textId="0AB2AE43" w:rsidR="004D3B36" w:rsidRPr="0083677E" w:rsidRDefault="004D3B36" w:rsidP="00F2222F">
            <w:pPr>
              <w:pStyle w:val="TableText"/>
            </w:pPr>
            <w:r w:rsidRPr="0083677E">
              <w:t>Appendix E</w:t>
            </w:r>
          </w:p>
        </w:tc>
        <w:tc>
          <w:tcPr>
            <w:tcW w:w="1338" w:type="dxa"/>
          </w:tcPr>
          <w:p w14:paraId="3FA9B806"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Land Use and Planning</w:t>
            </w:r>
          </w:p>
        </w:tc>
        <w:tc>
          <w:tcPr>
            <w:tcW w:w="4820" w:type="dxa"/>
          </w:tcPr>
          <w:p w14:paraId="1F48B416" w14:textId="2773215D" w:rsidR="00C10BE1" w:rsidRPr="00C10BE1" w:rsidRDefault="004D3B36" w:rsidP="00C10BE1">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land use and the built form</w:t>
            </w:r>
            <w:r w:rsidRPr="0083677E">
              <w:t xml:space="preserve"> in the vicinity of </w:t>
            </w:r>
            <w:r w:rsidR="004339BF" w:rsidRPr="0083677E">
              <w:t xml:space="preserve">Melbourne Metro </w:t>
            </w:r>
            <w:r w:rsidRPr="0083677E">
              <w:t>– including impacts from the temporary occupation and permanent acquisition of property and public open space, amenity impacts on land uses during construction and longer term impacts on built form as a result of the acquisition and demolition of buildings</w:t>
            </w:r>
            <w:r w:rsidR="00C10BE1" w:rsidRPr="00C10BE1">
              <w:t xml:space="preserve">. This includes an assessment of Future Development </w:t>
            </w:r>
            <w:r w:rsidR="00AC17FA">
              <w:t>L</w:t>
            </w:r>
            <w:r w:rsidR="00C10BE1" w:rsidRPr="00C10BE1">
              <w:t>oading above and around the proposed tunnel, stations and portals.</w:t>
            </w:r>
          </w:p>
          <w:p w14:paraId="6D05A102" w14:textId="11907DB2" w:rsidR="004D3B36" w:rsidRPr="0083677E" w:rsidRDefault="00C10BE1" w:rsidP="00C10BE1">
            <w:pPr>
              <w:pStyle w:val="TableText"/>
              <w:cnfStyle w:val="000000000000" w:firstRow="0" w:lastRow="0" w:firstColumn="0" w:lastColumn="0" w:oddVBand="0" w:evenVBand="0" w:oddHBand="0" w:evenHBand="0" w:firstRowFirstColumn="0" w:firstRowLastColumn="0" w:lastRowFirstColumn="0" w:lastRowLastColumn="0"/>
            </w:pPr>
            <w:r w:rsidRPr="00C10BE1">
              <w:t>This study was peer reviewed</w:t>
            </w:r>
          </w:p>
        </w:tc>
      </w:tr>
      <w:tr w:rsidR="004D3B36" w:rsidRPr="0083677E" w14:paraId="761B5ACF"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46313CD4" w14:textId="77777777" w:rsidR="004D3B36" w:rsidRPr="0083677E" w:rsidRDefault="004D3B36" w:rsidP="00F2222F">
            <w:pPr>
              <w:pStyle w:val="TableText"/>
            </w:pPr>
            <w:r w:rsidRPr="0083677E">
              <w:t>Appendix F</w:t>
            </w:r>
          </w:p>
        </w:tc>
        <w:tc>
          <w:tcPr>
            <w:tcW w:w="1338" w:type="dxa"/>
          </w:tcPr>
          <w:p w14:paraId="69F773C5"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Social and Community</w:t>
            </w:r>
          </w:p>
        </w:tc>
        <w:tc>
          <w:tcPr>
            <w:tcW w:w="4820" w:type="dxa"/>
          </w:tcPr>
          <w:p w14:paraId="23DB3F52" w14:textId="336268B2" w:rsidR="00C10BE1" w:rsidRDefault="004D3B36" w:rsidP="00C10BE1">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rsidRPr="0083677E">
              <w:t xml:space="preserve">Impacts on the </w:t>
            </w:r>
            <w:r w:rsidRPr="0083677E">
              <w:rPr>
                <w:rStyle w:val="CharacterStyle-Bold"/>
              </w:rPr>
              <w:t>social fabric of the community</w:t>
            </w:r>
            <w:r w:rsidRPr="0083677E">
              <w:t xml:space="preserve"> in the vicinity of </w:t>
            </w:r>
            <w:r w:rsidR="004339BF" w:rsidRPr="0083677E">
              <w:t xml:space="preserve">Melbourne Metro </w:t>
            </w:r>
            <w:r w:rsidRPr="0083677E">
              <w:t>– including impacts on private residential property owners and occupiers, social infrastructure, valued places and community accessibility, values, safety and amenity</w:t>
            </w:r>
            <w:r w:rsidR="00C10BE1">
              <w:t xml:space="preserve"> </w:t>
            </w:r>
          </w:p>
          <w:p w14:paraId="552135D7" w14:textId="7DC37A5A" w:rsidR="004D3B36" w:rsidRPr="0083677E" w:rsidRDefault="00C10BE1" w:rsidP="00C10BE1">
            <w:pPr>
              <w:pStyle w:val="TableText"/>
              <w:cnfStyle w:val="000000000000" w:firstRow="0" w:lastRow="0" w:firstColumn="0" w:lastColumn="0" w:oddVBand="0" w:evenVBand="0" w:oddHBand="0" w:evenHBand="0" w:firstRowFirstColumn="0" w:firstRowLastColumn="0" w:lastRowFirstColumn="0" w:lastRowLastColumn="0"/>
            </w:pPr>
            <w:r>
              <w:t>This study was peer reviewed</w:t>
            </w:r>
            <w:r w:rsidR="00AC17FA">
              <w:t>.</w:t>
            </w:r>
          </w:p>
        </w:tc>
      </w:tr>
      <w:tr w:rsidR="004D3B36" w:rsidRPr="0083677E" w14:paraId="388123E7"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1277B203" w14:textId="77777777" w:rsidR="004D3B36" w:rsidRPr="0083677E" w:rsidRDefault="004D3B36" w:rsidP="00F2222F">
            <w:pPr>
              <w:pStyle w:val="TableText"/>
            </w:pPr>
            <w:r w:rsidRPr="0083677E">
              <w:t>Appendix G</w:t>
            </w:r>
          </w:p>
        </w:tc>
        <w:tc>
          <w:tcPr>
            <w:tcW w:w="1338" w:type="dxa"/>
          </w:tcPr>
          <w:p w14:paraId="14F4C57B"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 xml:space="preserve">Business </w:t>
            </w:r>
          </w:p>
        </w:tc>
        <w:tc>
          <w:tcPr>
            <w:tcW w:w="4820" w:type="dxa"/>
          </w:tcPr>
          <w:p w14:paraId="786D8998" w14:textId="3E244C50" w:rsidR="00C10BE1" w:rsidRDefault="004D3B36" w:rsidP="00C10BE1">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individual businesses and local economies</w:t>
            </w:r>
            <w:r w:rsidRPr="0083677E">
              <w:t xml:space="preserve"> – including impacts from commercial property acquisition and disruption to businesses during construction. Also assesses longer term productivity and employment impacts on the broader Melbourne economy from the operation of </w:t>
            </w:r>
            <w:r w:rsidR="004339BF" w:rsidRPr="0083677E">
              <w:t>Melbourne Metro</w:t>
            </w:r>
            <w:r w:rsidR="00CC2E33">
              <w:t>.</w:t>
            </w:r>
          </w:p>
          <w:p w14:paraId="0D48AF7E" w14:textId="528BC040" w:rsidR="004D3B36" w:rsidRPr="0083677E" w:rsidRDefault="00C10BE1" w:rsidP="00C10BE1">
            <w:pPr>
              <w:pStyle w:val="TableText"/>
              <w:cnfStyle w:val="000000000000" w:firstRow="0" w:lastRow="0" w:firstColumn="0" w:lastColumn="0" w:oddVBand="0" w:evenVBand="0" w:oddHBand="0" w:evenHBand="0" w:firstRowFirstColumn="0" w:firstRowLastColumn="0" w:lastRowFirstColumn="0" w:lastRowLastColumn="0"/>
            </w:pPr>
            <w:r>
              <w:t>This study was peer reviewed</w:t>
            </w:r>
            <w:r w:rsidR="00AC17FA">
              <w:t>.</w:t>
            </w:r>
          </w:p>
        </w:tc>
      </w:tr>
      <w:tr w:rsidR="004D3B36" w:rsidRPr="0083677E" w14:paraId="60871F8B"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4D4B386C" w14:textId="77777777" w:rsidR="004D3B36" w:rsidRPr="0083677E" w:rsidRDefault="004D3B36" w:rsidP="00F2222F">
            <w:pPr>
              <w:pStyle w:val="TableText"/>
            </w:pPr>
            <w:r w:rsidRPr="0083677E">
              <w:t>Appendix H</w:t>
            </w:r>
          </w:p>
        </w:tc>
        <w:tc>
          <w:tcPr>
            <w:tcW w:w="1338" w:type="dxa"/>
          </w:tcPr>
          <w:p w14:paraId="59C06977"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Air Quality</w:t>
            </w:r>
          </w:p>
        </w:tc>
        <w:tc>
          <w:tcPr>
            <w:tcW w:w="4820" w:type="dxa"/>
          </w:tcPr>
          <w:p w14:paraId="3956D307" w14:textId="60AC5F5A" w:rsidR="00C10BE1" w:rsidRDefault="004D3B36" w:rsidP="00C10BE1">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local and regional air quality</w:t>
            </w:r>
            <w:r w:rsidRPr="0083677E">
              <w:t xml:space="preserve"> – including impacts from dust and odorous emissions during construction and impacts from exhaust emissions during the operation of </w:t>
            </w:r>
            <w:r w:rsidR="004339BF" w:rsidRPr="0083677E">
              <w:t>Melbourne Metro</w:t>
            </w:r>
            <w:r w:rsidR="00CC2E33">
              <w:t>.</w:t>
            </w:r>
          </w:p>
          <w:p w14:paraId="459AD917" w14:textId="4F39CBD3" w:rsidR="004D3B36" w:rsidRPr="0083677E" w:rsidRDefault="00C10BE1" w:rsidP="00C10BE1">
            <w:pPr>
              <w:pStyle w:val="TableText"/>
              <w:cnfStyle w:val="000000000000" w:firstRow="0" w:lastRow="0" w:firstColumn="0" w:lastColumn="0" w:oddVBand="0" w:evenVBand="0" w:oddHBand="0" w:evenHBand="0" w:firstRowFirstColumn="0" w:firstRowLastColumn="0" w:lastRowFirstColumn="0" w:lastRowLastColumn="0"/>
            </w:pPr>
            <w:r>
              <w:t>This study was peer reviewed</w:t>
            </w:r>
            <w:r w:rsidR="00AC17FA">
              <w:t>.</w:t>
            </w:r>
          </w:p>
        </w:tc>
      </w:tr>
      <w:tr w:rsidR="004D3B36" w:rsidRPr="0083677E" w14:paraId="2A6F0467"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3AD20FAF" w14:textId="77777777" w:rsidR="004D3B36" w:rsidRPr="0083677E" w:rsidRDefault="004D3B36" w:rsidP="00F2222F">
            <w:pPr>
              <w:pStyle w:val="TableText"/>
            </w:pPr>
            <w:r w:rsidRPr="0083677E">
              <w:t>Appendix I</w:t>
            </w:r>
          </w:p>
        </w:tc>
        <w:tc>
          <w:tcPr>
            <w:tcW w:w="1338" w:type="dxa"/>
          </w:tcPr>
          <w:p w14:paraId="27B06D8A"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Noise and Vibration</w:t>
            </w:r>
          </w:p>
        </w:tc>
        <w:tc>
          <w:tcPr>
            <w:tcW w:w="4820" w:type="dxa"/>
          </w:tcPr>
          <w:p w14:paraId="67663ADB" w14:textId="77777777" w:rsidR="004D3B36" w:rsidRDefault="004D3B36" w:rsidP="004339BF">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on people, buildings, structures and utilities from the </w:t>
            </w:r>
            <w:r w:rsidRPr="0083677E">
              <w:rPr>
                <w:rStyle w:val="CharacterStyle-Bold"/>
              </w:rPr>
              <w:t>generation of noise and vibration</w:t>
            </w:r>
            <w:r w:rsidRPr="0083677E">
              <w:t xml:space="preserve"> during construction and operation of </w:t>
            </w:r>
            <w:r w:rsidR="004339BF" w:rsidRPr="0083677E">
              <w:t>Melbourne Metro</w:t>
            </w:r>
            <w:r w:rsidRPr="0083677E">
              <w:t xml:space="preserve"> – including airborne and ground-borne noise, and vibration from tunnelling</w:t>
            </w:r>
            <w:r w:rsidR="00AC17FA">
              <w:t>.</w:t>
            </w:r>
          </w:p>
          <w:p w14:paraId="36670D1E" w14:textId="0E9047E8" w:rsidR="00AC17FA" w:rsidRPr="0083677E" w:rsidRDefault="00AC17FA" w:rsidP="004339BF">
            <w:pPr>
              <w:pStyle w:val="TableText"/>
              <w:cnfStyle w:val="000000000000" w:firstRow="0" w:lastRow="0" w:firstColumn="0" w:lastColumn="0" w:oddVBand="0" w:evenVBand="0" w:oddHBand="0" w:evenHBand="0" w:firstRowFirstColumn="0" w:firstRowLastColumn="0" w:lastRowFirstColumn="0" w:lastRowLastColumn="0"/>
            </w:pPr>
            <w:r>
              <w:t>This study was peer reviewed.</w:t>
            </w:r>
          </w:p>
        </w:tc>
      </w:tr>
      <w:tr w:rsidR="004D3B36" w:rsidRPr="0083677E" w14:paraId="276F22F5"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0008A85B" w14:textId="77777777" w:rsidR="004D3B36" w:rsidRPr="0083677E" w:rsidRDefault="004D3B36" w:rsidP="00F2222F">
            <w:pPr>
              <w:pStyle w:val="TableText"/>
            </w:pPr>
            <w:r w:rsidRPr="0083677E">
              <w:t>Appendix J</w:t>
            </w:r>
          </w:p>
        </w:tc>
        <w:tc>
          <w:tcPr>
            <w:tcW w:w="1338" w:type="dxa"/>
          </w:tcPr>
          <w:p w14:paraId="672F62BA"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Historical Cultural Heritage</w:t>
            </w:r>
          </w:p>
        </w:tc>
        <w:tc>
          <w:tcPr>
            <w:tcW w:w="4820" w:type="dxa"/>
          </w:tcPr>
          <w:p w14:paraId="1FEB7834" w14:textId="3E7C7371" w:rsidR="004D3B36" w:rsidRPr="0083677E" w:rsidRDefault="004D3B36" w:rsidP="00C10BE1">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heritage buildings, values and landscapes</w:t>
            </w:r>
            <w:r w:rsidRPr="0083677E">
              <w:t xml:space="preserve"> – including impacts from vibration and ground settlement during construction and visual impacts from permanent structures</w:t>
            </w:r>
            <w:r w:rsidR="00AC17FA">
              <w:t>.</w:t>
            </w:r>
          </w:p>
        </w:tc>
      </w:tr>
      <w:tr w:rsidR="004D3B36" w:rsidRPr="0083677E" w14:paraId="2855994E"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6D9CD017" w14:textId="77777777" w:rsidR="004D3B36" w:rsidRPr="0083677E" w:rsidRDefault="004D3B36" w:rsidP="00F2222F">
            <w:pPr>
              <w:pStyle w:val="TableText"/>
            </w:pPr>
            <w:r w:rsidRPr="0083677E">
              <w:t>Appendix K</w:t>
            </w:r>
          </w:p>
        </w:tc>
        <w:tc>
          <w:tcPr>
            <w:tcW w:w="1338" w:type="dxa"/>
          </w:tcPr>
          <w:p w14:paraId="33E80050"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Aboriginal Cultural Heritage</w:t>
            </w:r>
          </w:p>
        </w:tc>
        <w:tc>
          <w:tcPr>
            <w:tcW w:w="4820" w:type="dxa"/>
          </w:tcPr>
          <w:p w14:paraId="6660BD93" w14:textId="47658BB2"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Aboriginal cultural heritage</w:t>
            </w:r>
            <w:r w:rsidRPr="0083677E">
              <w:t xml:space="preserve"> – including potential disturbance of Aboriginal places and disturbance or removal of Aboriginal cultural heritage material</w:t>
            </w:r>
            <w:r w:rsidR="00AC17FA">
              <w:t>.</w:t>
            </w:r>
          </w:p>
        </w:tc>
      </w:tr>
      <w:tr w:rsidR="004D3B36" w:rsidRPr="0083677E" w14:paraId="63D7F63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76E70433" w14:textId="77777777" w:rsidR="004D3B36" w:rsidRPr="0083677E" w:rsidRDefault="004D3B36" w:rsidP="00F2222F">
            <w:pPr>
              <w:pStyle w:val="TableText"/>
            </w:pPr>
            <w:r w:rsidRPr="0083677E">
              <w:lastRenderedPageBreak/>
              <w:t>Appendix L</w:t>
            </w:r>
          </w:p>
        </w:tc>
        <w:tc>
          <w:tcPr>
            <w:tcW w:w="1338" w:type="dxa"/>
          </w:tcPr>
          <w:p w14:paraId="17990194"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Landscape and Visual</w:t>
            </w:r>
          </w:p>
        </w:tc>
        <w:tc>
          <w:tcPr>
            <w:tcW w:w="4820" w:type="dxa"/>
          </w:tcPr>
          <w:p w14:paraId="63DE57B7" w14:textId="1DACF6BF"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local landscapes, sensitive land uses and sightlines</w:t>
            </w:r>
            <w:r w:rsidRPr="0083677E">
              <w:t xml:space="preserve"> – including impacts on trees, parks, community facilities, events, iconic views and the character, form and function of public buildings</w:t>
            </w:r>
            <w:r w:rsidR="00AC17FA">
              <w:t>.</w:t>
            </w:r>
          </w:p>
        </w:tc>
      </w:tr>
      <w:tr w:rsidR="004D3B36" w:rsidRPr="0083677E" w14:paraId="3BC5F898"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6F0DD460" w14:textId="77777777" w:rsidR="004D3B36" w:rsidRPr="0083677E" w:rsidRDefault="004D3B36" w:rsidP="00F2222F">
            <w:pPr>
              <w:pStyle w:val="TableText"/>
            </w:pPr>
            <w:r w:rsidRPr="0083677E">
              <w:t>Appendix M</w:t>
            </w:r>
          </w:p>
        </w:tc>
        <w:tc>
          <w:tcPr>
            <w:tcW w:w="1338" w:type="dxa"/>
          </w:tcPr>
          <w:p w14:paraId="009967C1"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Urban Design Strategy</w:t>
            </w:r>
          </w:p>
        </w:tc>
        <w:tc>
          <w:tcPr>
            <w:tcW w:w="4820" w:type="dxa"/>
          </w:tcPr>
          <w:p w14:paraId="182E1AC7" w14:textId="0F82B104" w:rsidR="004D3B36" w:rsidRPr="0083677E" w:rsidRDefault="004D3B36" w:rsidP="004339BF">
            <w:pPr>
              <w:pStyle w:val="TableText"/>
              <w:cnfStyle w:val="000000000000" w:firstRow="0" w:lastRow="0" w:firstColumn="0" w:lastColumn="0" w:oddVBand="0" w:evenVBand="0" w:oddHBand="0" w:evenHBand="0" w:firstRowFirstColumn="0" w:firstRowLastColumn="0" w:lastRowFirstColumn="0" w:lastRowLastColumn="0"/>
            </w:pPr>
            <w:r w:rsidRPr="0083677E">
              <w:t xml:space="preserve">Presents the </w:t>
            </w:r>
            <w:r w:rsidRPr="0083677E">
              <w:rPr>
                <w:rStyle w:val="CharacterStyle-Bold"/>
              </w:rPr>
              <w:t xml:space="preserve">Urban Design Strategy for </w:t>
            </w:r>
            <w:r w:rsidR="004339BF" w:rsidRPr="0083677E">
              <w:rPr>
                <w:rStyle w:val="CharacterStyle-Bold"/>
              </w:rPr>
              <w:t>Melbourne Metro</w:t>
            </w:r>
            <w:r w:rsidRPr="0083677E">
              <w:t xml:space="preserve"> – including high level urban design principles to be adopted across the </w:t>
            </w:r>
            <w:r w:rsidR="004339BF" w:rsidRPr="0083677E">
              <w:t>p</w:t>
            </w:r>
            <w:r w:rsidRPr="0083677E">
              <w:t>roject</w:t>
            </w:r>
            <w:r w:rsidR="00AC17FA">
              <w:t>.</w:t>
            </w:r>
            <w:r w:rsidRPr="0083677E">
              <w:t xml:space="preserve"> </w:t>
            </w:r>
          </w:p>
        </w:tc>
      </w:tr>
      <w:tr w:rsidR="004D3B36" w:rsidRPr="0083677E" w14:paraId="211266A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34DEBC51" w14:textId="77777777" w:rsidR="004D3B36" w:rsidRPr="0083677E" w:rsidRDefault="004D3B36" w:rsidP="00F2222F">
            <w:pPr>
              <w:pStyle w:val="TableText"/>
            </w:pPr>
            <w:r w:rsidRPr="0083677E">
              <w:t>Appendix N</w:t>
            </w:r>
          </w:p>
        </w:tc>
        <w:tc>
          <w:tcPr>
            <w:tcW w:w="1338" w:type="dxa"/>
          </w:tcPr>
          <w:p w14:paraId="5FEB5088"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Surface Water</w:t>
            </w:r>
          </w:p>
        </w:tc>
        <w:tc>
          <w:tcPr>
            <w:tcW w:w="4820" w:type="dxa"/>
          </w:tcPr>
          <w:p w14:paraId="617D5AD4" w14:textId="23CD9FB3" w:rsidR="004D3B36" w:rsidRPr="0083677E" w:rsidRDefault="004D3B36" w:rsidP="003F5DD3">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surface water</w:t>
            </w:r>
            <w:r w:rsidR="00AD6031" w:rsidRPr="0083677E">
              <w:rPr>
                <w:rStyle w:val="CharacterStyle-Bold"/>
              </w:rPr>
              <w:t xml:space="preserve"> </w:t>
            </w:r>
            <w:r w:rsidRPr="0083677E">
              <w:rPr>
                <w:rStyle w:val="CharacterStyle-Bold"/>
              </w:rPr>
              <w:t>flows and flooding</w:t>
            </w:r>
            <w:r w:rsidRPr="0083677E">
              <w:t xml:space="preserve"> – including impacts on major waterways and overland drainage flows, the effects of runoff from permanent </w:t>
            </w:r>
            <w:r w:rsidR="004339BF" w:rsidRPr="0083677E">
              <w:t xml:space="preserve">Melbourne Metro </w:t>
            </w:r>
            <w:r w:rsidRPr="0083677E">
              <w:t xml:space="preserve">structures and potential consequences of flooding on </w:t>
            </w:r>
            <w:r w:rsidR="004339BF" w:rsidRPr="0083677E">
              <w:t>Melbourne Metro</w:t>
            </w:r>
            <w:r w:rsidRPr="0083677E">
              <w:t xml:space="preserve"> stations and tunnels</w:t>
            </w:r>
            <w:r w:rsidR="00AC17FA">
              <w:t>.</w:t>
            </w:r>
          </w:p>
        </w:tc>
      </w:tr>
      <w:tr w:rsidR="004D3B36" w:rsidRPr="0083677E" w14:paraId="18853EDF"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59F92D98" w14:textId="77777777" w:rsidR="004D3B36" w:rsidRPr="0083677E" w:rsidRDefault="004D3B36" w:rsidP="00F2222F">
            <w:pPr>
              <w:pStyle w:val="TableText"/>
            </w:pPr>
            <w:r w:rsidRPr="0083677E">
              <w:t>Appendix O</w:t>
            </w:r>
          </w:p>
        </w:tc>
        <w:tc>
          <w:tcPr>
            <w:tcW w:w="1338" w:type="dxa"/>
          </w:tcPr>
          <w:p w14:paraId="47571602"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Groundwater</w:t>
            </w:r>
          </w:p>
        </w:tc>
        <w:tc>
          <w:tcPr>
            <w:tcW w:w="4820" w:type="dxa"/>
          </w:tcPr>
          <w:p w14:paraId="6D3B0B30" w14:textId="7EB7DDA2" w:rsidR="00C10BE1" w:rsidRDefault="004D3B36" w:rsidP="00C10BE1">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rsidRPr="0083677E">
              <w:t xml:space="preserve">Impacts on </w:t>
            </w:r>
            <w:r w:rsidRPr="0083677E">
              <w:rPr>
                <w:rStyle w:val="CharacterStyle-Bold"/>
              </w:rPr>
              <w:t>groundwater quantity and quality</w:t>
            </w:r>
            <w:r w:rsidRPr="0083677E">
              <w:t xml:space="preserve"> – including issues associated with encountering contaminated groundwater, impacts from dewatering during construction and ways to protect groundwater</w:t>
            </w:r>
            <w:r w:rsidR="00C10BE1">
              <w:t>.</w:t>
            </w:r>
            <w:r w:rsidRPr="0083677E">
              <w:t xml:space="preserve"> </w:t>
            </w:r>
          </w:p>
          <w:p w14:paraId="72F412E1" w14:textId="2274672D" w:rsidR="004D3B36" w:rsidRPr="0083677E" w:rsidRDefault="00C10BE1" w:rsidP="00C10BE1">
            <w:pPr>
              <w:pStyle w:val="TableText"/>
              <w:cnfStyle w:val="000000000000" w:firstRow="0" w:lastRow="0" w:firstColumn="0" w:lastColumn="0" w:oddVBand="0" w:evenVBand="0" w:oddHBand="0" w:evenHBand="0" w:firstRowFirstColumn="0" w:firstRowLastColumn="0" w:lastRowFirstColumn="0" w:lastRowLastColumn="0"/>
            </w:pPr>
            <w:r>
              <w:t>This study was peer reviewed</w:t>
            </w:r>
            <w:r w:rsidR="00AC17FA">
              <w:t>.</w:t>
            </w:r>
          </w:p>
        </w:tc>
      </w:tr>
      <w:tr w:rsidR="004D3B36" w:rsidRPr="0083677E" w14:paraId="081D3DBB"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4AC9B1AD" w14:textId="77777777" w:rsidR="004D3B36" w:rsidRPr="0083677E" w:rsidRDefault="004D3B36" w:rsidP="00F2222F">
            <w:pPr>
              <w:pStyle w:val="TableText"/>
            </w:pPr>
            <w:r w:rsidRPr="0083677E">
              <w:t>Appendix P</w:t>
            </w:r>
          </w:p>
        </w:tc>
        <w:tc>
          <w:tcPr>
            <w:tcW w:w="1338" w:type="dxa"/>
          </w:tcPr>
          <w:p w14:paraId="36B20A52"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Ground Movement and Land Stability</w:t>
            </w:r>
          </w:p>
        </w:tc>
        <w:tc>
          <w:tcPr>
            <w:tcW w:w="4820" w:type="dxa"/>
          </w:tcPr>
          <w:p w14:paraId="722316AB" w14:textId="24B0919E" w:rsidR="00C10BE1" w:rsidRDefault="004D3B36" w:rsidP="00C10BE1">
            <w:pPr>
              <w:pStyle w:val="TableText"/>
              <w:numPr>
                <w:ilvl w:val="0"/>
                <w:numId w:val="7"/>
              </w:numPr>
              <w:cnfStyle w:val="000000000000" w:firstRow="0" w:lastRow="0" w:firstColumn="0" w:lastColumn="0" w:oddVBand="0" w:evenVBand="0" w:oddHBand="0" w:evenHBand="0" w:firstRowFirstColumn="0" w:firstRowLastColumn="0" w:lastRowFirstColumn="0" w:lastRowLastColumn="0"/>
            </w:pPr>
            <w:r w:rsidRPr="0083677E">
              <w:t xml:space="preserve">Impacts on buildings, civil infrastructure and utilities from </w:t>
            </w:r>
            <w:r w:rsidRPr="0083677E">
              <w:rPr>
                <w:rStyle w:val="CharacterStyle-Bold"/>
              </w:rPr>
              <w:t xml:space="preserve">ground movement as a result of construction activities </w:t>
            </w:r>
            <w:r w:rsidRPr="0083677E">
              <w:t>– including potential ground settlement impacts associated with tunnel excavation, station construction and retaining structures</w:t>
            </w:r>
            <w:r w:rsidR="00C10BE1">
              <w:t xml:space="preserve">. </w:t>
            </w:r>
          </w:p>
          <w:p w14:paraId="6742C8C6" w14:textId="66A6F852" w:rsidR="004D3B36" w:rsidRPr="0083677E" w:rsidRDefault="00C10BE1" w:rsidP="00C10BE1">
            <w:pPr>
              <w:pStyle w:val="TableText"/>
              <w:cnfStyle w:val="000000000000" w:firstRow="0" w:lastRow="0" w:firstColumn="0" w:lastColumn="0" w:oddVBand="0" w:evenVBand="0" w:oddHBand="0" w:evenHBand="0" w:firstRowFirstColumn="0" w:firstRowLastColumn="0" w:lastRowFirstColumn="0" w:lastRowLastColumn="0"/>
            </w:pPr>
            <w:r>
              <w:t>This study was peer reviewed</w:t>
            </w:r>
            <w:r w:rsidR="00AC17FA">
              <w:t>.</w:t>
            </w:r>
          </w:p>
        </w:tc>
      </w:tr>
      <w:tr w:rsidR="004D3B36" w:rsidRPr="0083677E" w14:paraId="14842134"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64D5F4B1" w14:textId="77777777" w:rsidR="004D3B36" w:rsidRPr="0083677E" w:rsidRDefault="004D3B36" w:rsidP="00F2222F">
            <w:pPr>
              <w:pStyle w:val="TableText"/>
            </w:pPr>
            <w:r w:rsidRPr="0083677E">
              <w:t>Appendix Q</w:t>
            </w:r>
          </w:p>
        </w:tc>
        <w:tc>
          <w:tcPr>
            <w:tcW w:w="1338" w:type="dxa"/>
          </w:tcPr>
          <w:p w14:paraId="7F190842"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Contaminated Land and Spoil Management</w:t>
            </w:r>
          </w:p>
        </w:tc>
        <w:tc>
          <w:tcPr>
            <w:tcW w:w="4820" w:type="dxa"/>
          </w:tcPr>
          <w:p w14:paraId="7E5EC3A2" w14:textId="2E914CDD" w:rsidR="004D3B36" w:rsidRPr="0083677E" w:rsidRDefault="004D3B36" w:rsidP="00C10BE1">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from disturbing </w:t>
            </w:r>
            <w:r w:rsidRPr="0083677E">
              <w:rPr>
                <w:rStyle w:val="CharacterStyle-Bold"/>
              </w:rPr>
              <w:t xml:space="preserve">contaminated soil, rock and groundwater </w:t>
            </w:r>
            <w:r w:rsidRPr="0083677E">
              <w:t>– including the potential to encounter acid-forming material. Also assesses the amount of spoil generated in each precinct and the management, removal and disposal of spoil and waste</w:t>
            </w:r>
            <w:r w:rsidR="00AC17FA">
              <w:t>.</w:t>
            </w:r>
          </w:p>
        </w:tc>
      </w:tr>
      <w:tr w:rsidR="004D3B36" w:rsidRPr="0083677E" w14:paraId="3AB81FD4"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2BFA8B67" w14:textId="77777777" w:rsidR="004D3B36" w:rsidRPr="0083677E" w:rsidRDefault="004D3B36" w:rsidP="00F2222F">
            <w:pPr>
              <w:pStyle w:val="TableText"/>
            </w:pPr>
            <w:r w:rsidRPr="0083677E">
              <w:t>Appendix R</w:t>
            </w:r>
          </w:p>
        </w:tc>
        <w:tc>
          <w:tcPr>
            <w:tcW w:w="1338" w:type="dxa"/>
          </w:tcPr>
          <w:p w14:paraId="45C2BB25"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Arboriculture (1)</w:t>
            </w:r>
          </w:p>
        </w:tc>
        <w:tc>
          <w:tcPr>
            <w:tcW w:w="4820" w:type="dxa"/>
          </w:tcPr>
          <w:p w14:paraId="5A925447" w14:textId="6B1E5163" w:rsidR="004D3B36" w:rsidRPr="0083677E" w:rsidRDefault="004D3B36" w:rsidP="0038622D">
            <w:pPr>
              <w:pStyle w:val="TableText"/>
              <w:ind w:right="-57"/>
              <w:cnfStyle w:val="000000000000" w:firstRow="0" w:lastRow="0" w:firstColumn="0" w:lastColumn="0" w:oddVBand="0" w:evenVBand="0" w:oddHBand="0" w:evenHBand="0" w:firstRowFirstColumn="0" w:firstRowLastColumn="0" w:lastRowFirstColumn="0" w:lastRowLastColumn="0"/>
            </w:pPr>
            <w:r w:rsidRPr="0083677E">
              <w:t xml:space="preserve">Impacts to </w:t>
            </w:r>
            <w:r w:rsidRPr="0083677E">
              <w:rPr>
                <w:rStyle w:val="CharacterStyle-Bold"/>
              </w:rPr>
              <w:t xml:space="preserve">trees within all precincts other than </w:t>
            </w:r>
            <w:r w:rsidR="00BB7D19" w:rsidRPr="0083677E">
              <w:rPr>
                <w:rStyle w:val="CharacterStyle-Bold"/>
              </w:rPr>
              <w:t>the</w:t>
            </w:r>
            <w:r w:rsidR="001D387F" w:rsidRPr="0083677E">
              <w:rPr>
                <w:rStyle w:val="CharacterStyle-Bold"/>
              </w:rPr>
              <w:t xml:space="preserve"> City of </w:t>
            </w:r>
            <w:r w:rsidR="00DD241D">
              <w:rPr>
                <w:rStyle w:val="CharacterStyle-Bold"/>
              </w:rPr>
              <w:t>Stonnington</w:t>
            </w:r>
            <w:r w:rsidR="001D387F" w:rsidRPr="0083677E">
              <w:rPr>
                <w:rStyle w:val="CharacterStyle-Bold"/>
              </w:rPr>
              <w:t xml:space="preserve"> (</w:t>
            </w:r>
            <w:r w:rsidRPr="0083677E">
              <w:rPr>
                <w:rStyle w:val="CharacterStyle-Bold"/>
              </w:rPr>
              <w:t>Precinct 8</w:t>
            </w:r>
            <w:r w:rsidR="001D387F" w:rsidRPr="0083677E">
              <w:rPr>
                <w:rStyle w:val="CharacterStyle-Bold"/>
              </w:rPr>
              <w:t>)</w:t>
            </w:r>
            <w:r w:rsidRPr="0083677E">
              <w:t xml:space="preserve"> – including removal and replacement of trees, and re-establishment of tree cover</w:t>
            </w:r>
          </w:p>
        </w:tc>
      </w:tr>
      <w:tr w:rsidR="004D3B36" w:rsidRPr="0083677E" w14:paraId="3DA8DBA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44A9E168" w14:textId="77777777" w:rsidR="004D3B36" w:rsidRPr="0083677E" w:rsidRDefault="004D3B36" w:rsidP="00F2222F">
            <w:pPr>
              <w:pStyle w:val="TableText"/>
            </w:pPr>
            <w:r w:rsidRPr="0083677E">
              <w:t>Appendix S</w:t>
            </w:r>
          </w:p>
        </w:tc>
        <w:tc>
          <w:tcPr>
            <w:tcW w:w="1338" w:type="dxa"/>
          </w:tcPr>
          <w:p w14:paraId="44392102"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Arboriculture (2)</w:t>
            </w:r>
          </w:p>
        </w:tc>
        <w:tc>
          <w:tcPr>
            <w:tcW w:w="4820" w:type="dxa"/>
          </w:tcPr>
          <w:p w14:paraId="5EB4157A" w14:textId="0525451F" w:rsidR="004D3B36" w:rsidRPr="0083677E" w:rsidRDefault="004D3B36">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to </w:t>
            </w:r>
            <w:r w:rsidRPr="0083677E">
              <w:rPr>
                <w:rStyle w:val="CharacterStyle-Bold"/>
              </w:rPr>
              <w:t xml:space="preserve">trees within </w:t>
            </w:r>
            <w:r w:rsidR="00BB7D19" w:rsidRPr="0083677E">
              <w:rPr>
                <w:rStyle w:val="CharacterStyle-Bold"/>
              </w:rPr>
              <w:t xml:space="preserve">the </w:t>
            </w:r>
            <w:r w:rsidR="001D387F" w:rsidRPr="0083677E">
              <w:rPr>
                <w:rStyle w:val="CharacterStyle-Bold"/>
              </w:rPr>
              <w:t xml:space="preserve">City of </w:t>
            </w:r>
            <w:r w:rsidR="00DD241D">
              <w:rPr>
                <w:rStyle w:val="CharacterStyle-Bold"/>
              </w:rPr>
              <w:t>Stonnington</w:t>
            </w:r>
            <w:r w:rsidR="001D387F" w:rsidRPr="0083677E">
              <w:rPr>
                <w:rStyle w:val="CharacterStyle-Bold"/>
              </w:rPr>
              <w:t xml:space="preserve"> (</w:t>
            </w:r>
            <w:r w:rsidRPr="0083677E">
              <w:rPr>
                <w:rStyle w:val="CharacterStyle-Bold"/>
              </w:rPr>
              <w:t>Precinct 8</w:t>
            </w:r>
            <w:r w:rsidR="001D387F" w:rsidRPr="0083677E">
              <w:rPr>
                <w:rStyle w:val="CharacterStyle-Bold"/>
              </w:rPr>
              <w:t>)</w:t>
            </w:r>
            <w:r w:rsidRPr="0083677E">
              <w:t xml:space="preserve"> – including removal and replacement of trees, and re-establishment of tree cover</w:t>
            </w:r>
          </w:p>
        </w:tc>
      </w:tr>
      <w:tr w:rsidR="004D3B36" w:rsidRPr="0083677E" w14:paraId="26B43BD5"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11FFC348" w14:textId="77777777" w:rsidR="004D3B36" w:rsidRPr="0083677E" w:rsidRDefault="004D3B36" w:rsidP="00F2222F">
            <w:pPr>
              <w:pStyle w:val="TableText"/>
            </w:pPr>
            <w:r w:rsidRPr="0083677E">
              <w:t>Appendix T</w:t>
            </w:r>
          </w:p>
        </w:tc>
        <w:tc>
          <w:tcPr>
            <w:tcW w:w="1338" w:type="dxa"/>
          </w:tcPr>
          <w:p w14:paraId="1BF34F51"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Terrestrial Flora and Fauna</w:t>
            </w:r>
          </w:p>
        </w:tc>
        <w:tc>
          <w:tcPr>
            <w:tcW w:w="4820" w:type="dxa"/>
          </w:tcPr>
          <w:p w14:paraId="603685B4" w14:textId="25B9B6BE" w:rsidR="004D3B36" w:rsidRPr="0083677E" w:rsidRDefault="004D3B36" w:rsidP="00BB7D19">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to </w:t>
            </w:r>
            <w:r w:rsidRPr="0083677E">
              <w:rPr>
                <w:rStyle w:val="CharacterStyle-Bold"/>
              </w:rPr>
              <w:t>biodiversity (threatened terrestrial flora and fauna and remnant vegetation)</w:t>
            </w:r>
            <w:r w:rsidRPr="0083677E">
              <w:t xml:space="preserve"> during construction and operation of </w:t>
            </w:r>
            <w:r w:rsidR="00BB7D19" w:rsidRPr="0083677E">
              <w:t>Melbourne Metro</w:t>
            </w:r>
          </w:p>
        </w:tc>
      </w:tr>
      <w:tr w:rsidR="004D3B36" w:rsidRPr="0083677E" w14:paraId="08C2A11A"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6B68345E" w14:textId="77777777" w:rsidR="004D3B36" w:rsidRPr="0083677E" w:rsidRDefault="004D3B36" w:rsidP="00F2222F">
            <w:pPr>
              <w:pStyle w:val="TableText"/>
            </w:pPr>
            <w:r w:rsidRPr="0083677E">
              <w:t>Appendix U</w:t>
            </w:r>
          </w:p>
        </w:tc>
        <w:tc>
          <w:tcPr>
            <w:tcW w:w="1338" w:type="dxa"/>
          </w:tcPr>
          <w:p w14:paraId="17ADD9C2" w14:textId="06D3B2C6" w:rsidR="004D3B36" w:rsidRPr="0083677E" w:rsidRDefault="004D3B36" w:rsidP="00AC17FA">
            <w:pPr>
              <w:pStyle w:val="TableText"/>
              <w:cnfStyle w:val="000000000000" w:firstRow="0" w:lastRow="0" w:firstColumn="0" w:lastColumn="0" w:oddVBand="0" w:evenVBand="0" w:oddHBand="0" w:evenHBand="0" w:firstRowFirstColumn="0" w:firstRowLastColumn="0" w:lastRowFirstColumn="0" w:lastRowLastColumn="0"/>
            </w:pPr>
            <w:r w:rsidRPr="0083677E">
              <w:t xml:space="preserve">Aquatic </w:t>
            </w:r>
            <w:r w:rsidR="00AC17FA">
              <w:t xml:space="preserve">Ecology </w:t>
            </w:r>
            <w:r w:rsidRPr="0083677E">
              <w:t xml:space="preserve"> and River Health</w:t>
            </w:r>
          </w:p>
        </w:tc>
        <w:tc>
          <w:tcPr>
            <w:tcW w:w="4820" w:type="dxa"/>
          </w:tcPr>
          <w:p w14:paraId="0387B8A1" w14:textId="173E836B" w:rsidR="004D3B36" w:rsidRPr="0083677E" w:rsidRDefault="004D3B36" w:rsidP="00BB7D19">
            <w:pPr>
              <w:pStyle w:val="TableText"/>
              <w:cnfStyle w:val="000000000000" w:firstRow="0" w:lastRow="0" w:firstColumn="0" w:lastColumn="0" w:oddVBand="0" w:evenVBand="0" w:oddHBand="0" w:evenHBand="0" w:firstRowFirstColumn="0" w:firstRowLastColumn="0" w:lastRowFirstColumn="0" w:lastRowLastColumn="0"/>
            </w:pPr>
            <w:r w:rsidRPr="0083677E">
              <w:t xml:space="preserve">Impacts to </w:t>
            </w:r>
            <w:r w:rsidRPr="0083677E">
              <w:rPr>
                <w:rStyle w:val="CharacterStyle-Bold"/>
              </w:rPr>
              <w:t>biodiversity (aquatic flora and fauna, water quality and river health)</w:t>
            </w:r>
            <w:r w:rsidRPr="0083677E">
              <w:t xml:space="preserve"> during construction and operation of </w:t>
            </w:r>
            <w:r w:rsidR="00BB7D19" w:rsidRPr="0083677E">
              <w:t>Melbourne Metro</w:t>
            </w:r>
            <w:r w:rsidR="00AC17FA">
              <w:t>.</w:t>
            </w:r>
          </w:p>
        </w:tc>
      </w:tr>
      <w:tr w:rsidR="004D3B36" w:rsidRPr="0083677E" w14:paraId="7BB917D8"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2DAB2728" w14:textId="77777777" w:rsidR="004D3B36" w:rsidRPr="0083677E" w:rsidRDefault="004D3B36" w:rsidP="00F2222F">
            <w:pPr>
              <w:pStyle w:val="TableText"/>
            </w:pPr>
            <w:r w:rsidRPr="0083677E">
              <w:t>Appendix V</w:t>
            </w:r>
          </w:p>
        </w:tc>
        <w:tc>
          <w:tcPr>
            <w:tcW w:w="1338" w:type="dxa"/>
          </w:tcPr>
          <w:p w14:paraId="1A09F2AA" w14:textId="77777777" w:rsidR="004D3B36" w:rsidRPr="0083677E" w:rsidRDefault="004D3B36" w:rsidP="00F2222F">
            <w:pPr>
              <w:pStyle w:val="TableText"/>
              <w:cnfStyle w:val="000000000000" w:firstRow="0" w:lastRow="0" w:firstColumn="0" w:lastColumn="0" w:oddVBand="0" w:evenVBand="0" w:oddHBand="0" w:evenHBand="0" w:firstRowFirstColumn="0" w:firstRowLastColumn="0" w:lastRowFirstColumn="0" w:lastRowLastColumn="0"/>
            </w:pPr>
            <w:r w:rsidRPr="0083677E">
              <w:t>Greenhouse Gas</w:t>
            </w:r>
          </w:p>
        </w:tc>
        <w:tc>
          <w:tcPr>
            <w:tcW w:w="4820" w:type="dxa"/>
          </w:tcPr>
          <w:p w14:paraId="0AAF2207" w14:textId="54445E23" w:rsidR="004D3B36" w:rsidRPr="0083677E" w:rsidRDefault="001D387F" w:rsidP="00BB7D19">
            <w:pPr>
              <w:pStyle w:val="TableText"/>
              <w:cnfStyle w:val="000000000000" w:firstRow="0" w:lastRow="0" w:firstColumn="0" w:lastColumn="0" w:oddVBand="0" w:evenVBand="0" w:oddHBand="0" w:evenHBand="0" w:firstRowFirstColumn="0" w:firstRowLastColumn="0" w:lastRowFirstColumn="0" w:lastRowLastColumn="0"/>
            </w:pPr>
            <w:r w:rsidRPr="0083677E">
              <w:t xml:space="preserve">Assessment of </w:t>
            </w:r>
            <w:r w:rsidR="004D3B36" w:rsidRPr="0083677E">
              <w:rPr>
                <w:rStyle w:val="CharacterStyle-Bold"/>
              </w:rPr>
              <w:t>emission</w:t>
            </w:r>
            <w:r w:rsidR="00BB7D19" w:rsidRPr="0083677E">
              <w:rPr>
                <w:rStyle w:val="CharacterStyle-Bold"/>
              </w:rPr>
              <w:t>s</w:t>
            </w:r>
            <w:r w:rsidR="004D3B36" w:rsidRPr="0083677E">
              <w:rPr>
                <w:rStyle w:val="CharacterStyle-Bold"/>
              </w:rPr>
              <w:t xml:space="preserve"> of greenhouse gases</w:t>
            </w:r>
            <w:r w:rsidR="004D3B36" w:rsidRPr="0083677E">
              <w:t xml:space="preserve"> during the construction of </w:t>
            </w:r>
            <w:r w:rsidR="00BB7D19" w:rsidRPr="0083677E">
              <w:t xml:space="preserve">Melbourne Metro </w:t>
            </w:r>
            <w:r w:rsidR="004D3B36" w:rsidRPr="0083677E">
              <w:t xml:space="preserve">– including the </w:t>
            </w:r>
            <w:r w:rsidR="00BB7D19" w:rsidRPr="0083677E">
              <w:t>p</w:t>
            </w:r>
            <w:r w:rsidR="004D3B36" w:rsidRPr="0083677E">
              <w:t>roject’s contribution to improving Melbourne’s future GHG inventory</w:t>
            </w:r>
            <w:r w:rsidR="00AC17FA">
              <w:t>.</w:t>
            </w:r>
          </w:p>
        </w:tc>
      </w:tr>
      <w:tr w:rsidR="004D3B36" w:rsidRPr="0083677E" w14:paraId="051893F9" w14:textId="77777777" w:rsidTr="00C2013B">
        <w:trPr>
          <w:cantSplit/>
        </w:trPr>
        <w:tc>
          <w:tcPr>
            <w:cnfStyle w:val="001000000000" w:firstRow="0" w:lastRow="0" w:firstColumn="1" w:lastColumn="0" w:oddVBand="0" w:evenVBand="0" w:oddHBand="0" w:evenHBand="0" w:firstRowFirstColumn="0" w:firstRowLastColumn="0" w:lastRowFirstColumn="0" w:lastRowLastColumn="0"/>
            <w:tcW w:w="1257" w:type="dxa"/>
          </w:tcPr>
          <w:p w14:paraId="06D4A73E" w14:textId="77777777" w:rsidR="004D3B36" w:rsidRPr="0083677E" w:rsidRDefault="004D3B36" w:rsidP="00F2222F">
            <w:pPr>
              <w:pStyle w:val="TableText"/>
            </w:pPr>
            <w:r w:rsidRPr="0083677E">
              <w:t>Appendix W</w:t>
            </w:r>
          </w:p>
        </w:tc>
        <w:tc>
          <w:tcPr>
            <w:tcW w:w="1338" w:type="dxa"/>
          </w:tcPr>
          <w:p w14:paraId="2720AD0C" w14:textId="375E16FF" w:rsidR="004D3B36" w:rsidRPr="0083677E" w:rsidRDefault="004D3B36" w:rsidP="00AC17FA">
            <w:pPr>
              <w:pStyle w:val="TableText"/>
              <w:cnfStyle w:val="000000000000" w:firstRow="0" w:lastRow="0" w:firstColumn="0" w:lastColumn="0" w:oddVBand="0" w:evenVBand="0" w:oddHBand="0" w:evenHBand="0" w:firstRowFirstColumn="0" w:firstRowLastColumn="0" w:lastRowFirstColumn="0" w:lastRowLastColumn="0"/>
            </w:pPr>
            <w:r w:rsidRPr="0083677E">
              <w:t xml:space="preserve">Sustainability </w:t>
            </w:r>
            <w:r w:rsidR="00C10BE1">
              <w:t>Principles and Approach</w:t>
            </w:r>
            <w:r w:rsidR="00C10BE1" w:rsidRPr="0083677E" w:rsidDel="00C10BE1">
              <w:t xml:space="preserve"> </w:t>
            </w:r>
          </w:p>
        </w:tc>
        <w:tc>
          <w:tcPr>
            <w:tcW w:w="4820" w:type="dxa"/>
          </w:tcPr>
          <w:p w14:paraId="2B9B6FB1" w14:textId="39F5B729" w:rsidR="004D3B36" w:rsidRPr="0083677E" w:rsidRDefault="001D387F" w:rsidP="00C2013B">
            <w:pPr>
              <w:pStyle w:val="TableText"/>
              <w:cnfStyle w:val="000000000000" w:firstRow="0" w:lastRow="0" w:firstColumn="0" w:lastColumn="0" w:oddVBand="0" w:evenVBand="0" w:oddHBand="0" w:evenHBand="0" w:firstRowFirstColumn="0" w:firstRowLastColumn="0" w:lastRowFirstColumn="0" w:lastRowLastColumn="0"/>
            </w:pPr>
            <w:r w:rsidRPr="0083677E">
              <w:t>Document</w:t>
            </w:r>
            <w:r w:rsidR="00BB7D19" w:rsidRPr="0083677E">
              <w:t xml:space="preserve">s </w:t>
            </w:r>
            <w:r w:rsidRPr="0083677E">
              <w:t>MMRA's approach to apply</w:t>
            </w:r>
            <w:r w:rsidR="00BB7D19" w:rsidRPr="0083677E">
              <w:t>ing</w:t>
            </w:r>
            <w:r w:rsidRPr="0083677E">
              <w:t xml:space="preserve"> </w:t>
            </w:r>
            <w:r w:rsidR="00EE2E47" w:rsidRPr="0083677E">
              <w:rPr>
                <w:rStyle w:val="CharacterStyle-Bold"/>
              </w:rPr>
              <w:t>sustainability princip</w:t>
            </w:r>
            <w:r w:rsidR="00BB7D19" w:rsidRPr="0083677E">
              <w:rPr>
                <w:rStyle w:val="CharacterStyle-Bold"/>
              </w:rPr>
              <w:t xml:space="preserve">les </w:t>
            </w:r>
            <w:r w:rsidRPr="0083677E">
              <w:t>through the delivery of Melbourne Metro</w:t>
            </w:r>
            <w:r w:rsidR="004D3B36" w:rsidRPr="0083677E">
              <w:t xml:space="preserve"> – including MMRA Sustainability Performance Requirements</w:t>
            </w:r>
            <w:r w:rsidRPr="0083677E">
              <w:t xml:space="preserve"> and self</w:t>
            </w:r>
            <w:r w:rsidR="00C2013B" w:rsidRPr="0083677E">
              <w:t>-</w:t>
            </w:r>
            <w:r w:rsidRPr="0083677E">
              <w:t xml:space="preserve">assessment using </w:t>
            </w:r>
            <w:r w:rsidR="004D3B36" w:rsidRPr="0083677E">
              <w:t>ISCA and Green Star</w:t>
            </w:r>
            <w:r w:rsidRPr="0083677E">
              <w:t xml:space="preserve"> rating tools</w:t>
            </w:r>
          </w:p>
        </w:tc>
      </w:tr>
    </w:tbl>
    <w:p w14:paraId="1AF1738D" w14:textId="77777777" w:rsidR="004D3B36" w:rsidRPr="0038622D" w:rsidRDefault="004D3B36" w:rsidP="0038622D">
      <w:pPr>
        <w:pStyle w:val="BodyTextSingleSpacing"/>
      </w:pPr>
    </w:p>
    <w:sectPr w:rsidR="004D3B36" w:rsidRPr="0038622D" w:rsidSect="006832F9">
      <w:footerReference w:type="even" r:id="rId19"/>
      <w:footerReference w:type="default" r:id="rId20"/>
      <w:pgSz w:w="11906" w:h="16838" w:code="9"/>
      <w:pgMar w:top="1701" w:right="1418" w:bottom="1701" w:left="3289" w:header="567" w:footer="567"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7771E" w14:textId="77777777" w:rsidR="00E920FA" w:rsidRDefault="00E920FA" w:rsidP="00A02FC6">
      <w:r>
        <w:separator/>
      </w:r>
    </w:p>
  </w:endnote>
  <w:endnote w:type="continuationSeparator" w:id="0">
    <w:p w14:paraId="54111317" w14:textId="77777777" w:rsidR="00E920FA" w:rsidRDefault="00E920FA"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41C" w14:textId="40D8B1A5" w:rsidR="00E2371E" w:rsidRPr="00184512" w:rsidRDefault="00E2371E" w:rsidP="00792161">
    <w:pPr>
      <w:pStyle w:val="Footer"/>
      <w:jc w:val="right"/>
    </w:pPr>
    <w:r>
      <w:rPr>
        <w:lang w:eastAsia="en-AU"/>
      </w:rPr>
      <mc:AlternateContent>
        <mc:Choice Requires="wps">
          <w:drawing>
            <wp:anchor distT="0" distB="0" distL="114300" distR="114300" simplePos="0" relativeHeight="251659264" behindDoc="0" locked="1" layoutInCell="1" allowOverlap="1" wp14:anchorId="6D227AE8" wp14:editId="75BF2418">
              <wp:simplePos x="0" y="0"/>
              <wp:positionH relativeFrom="column">
                <wp:align>left</wp:align>
              </wp:positionH>
              <wp:positionV relativeFrom="paragraph">
                <wp:posOffset>0</wp:posOffset>
              </wp:positionV>
              <wp:extent cx="890905" cy="62484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6BB78" w14:textId="77777777" w:rsidR="00E2371E" w:rsidRPr="00671047" w:rsidRDefault="00E2371E" w:rsidP="000E2CE8">
                          <w:pPr>
                            <w:pStyle w:val="PageNo"/>
                            <w:jc w:val="left"/>
                          </w:pPr>
                          <w:r>
                            <w:fldChar w:fldCharType="begin"/>
                          </w:r>
                          <w:r>
                            <w:instrText xml:space="preserve"> PAGE   \* MERGEFORMAT </w:instrText>
                          </w:r>
                          <w:r>
                            <w:fldChar w:fldCharType="separate"/>
                          </w:r>
                          <w:r w:rsidR="006B6CE8">
                            <w:t>4–2</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70.15pt;height:49.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" filled="f" stroked="f" strokeweight=".5pt">
              <v:path arrowok="t"/>
              <v:textbox style="mso-fit-shape-to-text:t" inset="0,0,0,0">
                <w:txbxContent>
                  <w:p w14:paraId="3146BB78" w14:textId="77777777" w:rsidR="00E2371E" w:rsidRPr="00671047" w:rsidRDefault="00E2371E" w:rsidP="000E2CE8">
                    <w:pPr>
                      <w:pStyle w:val="PageNo"/>
                      <w:jc w:val="left"/>
                    </w:pPr>
                    <w:r>
                      <w:fldChar w:fldCharType="begin"/>
                    </w:r>
                    <w:r>
                      <w:instrText xml:space="preserve"> PAGE   \* MERGEFORMAT </w:instrText>
                    </w:r>
                    <w:r>
                      <w:fldChar w:fldCharType="separate"/>
                    </w:r>
                    <w:r w:rsidR="006B6CE8">
                      <w:t>4–2</w:t>
                    </w:r>
                    <w:r>
                      <w:fldChar w:fldCharType="end"/>
                    </w:r>
                  </w:p>
                </w:txbxContent>
              </v:textbox>
              <w10:anchorlock/>
            </v:shape>
          </w:pict>
        </mc:Fallback>
      </mc:AlternateContent>
    </w:r>
    <w:r>
      <w:rPr>
        <w:lang w:eastAsia="en-AU"/>
      </w:rPr>
      <w:t xml:space="preserve"> </w: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BAD4" w14:textId="77777777" w:rsidR="00492613" w:rsidRPr="00184512" w:rsidRDefault="00492613"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701248" behindDoc="0" locked="1" layoutInCell="1" allowOverlap="1" wp14:anchorId="4A8041F0" wp14:editId="356E75BF">
              <wp:simplePos x="0" y="0"/>
              <wp:positionH relativeFrom="rightMargin">
                <wp:posOffset>-900430</wp:posOffset>
              </wp:positionH>
              <wp:positionV relativeFrom="paragraph">
                <wp:posOffset>0</wp:posOffset>
              </wp:positionV>
              <wp:extent cx="899795" cy="624840"/>
              <wp:effectExtent l="0" t="0" r="146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B4C38" w14:textId="77777777" w:rsidR="00492613" w:rsidRPr="00671047" w:rsidRDefault="00492613" w:rsidP="00D80A9E">
                          <w:pPr>
                            <w:pStyle w:val="PageNo"/>
                          </w:pPr>
                          <w:r>
                            <w:fldChar w:fldCharType="begin"/>
                          </w:r>
                          <w:r>
                            <w:instrText xml:space="preserve"> PAGE   \* MERGEFORMAT </w:instrText>
                          </w:r>
                          <w:r>
                            <w:fldChar w:fldCharType="separate"/>
                          </w:r>
                          <w:r w:rsidR="006B6CE8">
                            <w:t>4–3</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0.9pt;margin-top:0;width:70.85pt;height:49.2pt;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" filled="f" stroked="f" strokeweight=".5pt">
              <v:path arrowok="t"/>
              <v:textbox style="mso-fit-shape-to-text:t" inset="0,0,0,0">
                <w:txbxContent>
                  <w:p w14:paraId="60DB4C38" w14:textId="77777777" w:rsidR="00492613" w:rsidRPr="00671047" w:rsidRDefault="00492613" w:rsidP="00D80A9E">
                    <w:pPr>
                      <w:pStyle w:val="PageNo"/>
                    </w:pPr>
                    <w:r>
                      <w:fldChar w:fldCharType="begin"/>
                    </w:r>
                    <w:r>
                      <w:instrText xml:space="preserve"> PAGE   \* MERGEFORMAT </w:instrText>
                    </w:r>
                    <w:r>
                      <w:fldChar w:fldCharType="separate"/>
                    </w:r>
                    <w:r w:rsidR="006B6CE8">
                      <w:t>4–3</w:t>
                    </w:r>
                    <w:r>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6ABC" w14:textId="77777777" w:rsidR="00E2371E" w:rsidRDefault="00E2371E" w:rsidP="00891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7098" w14:textId="29A7B9DA" w:rsidR="00E2371E" w:rsidRPr="00184512" w:rsidRDefault="00E2371E" w:rsidP="00792161">
    <w:pPr>
      <w:pStyle w:val="Footer"/>
      <w:jc w:val="right"/>
    </w:pPr>
    <w:r>
      <w:rPr>
        <w:lang w:eastAsia="en-AU"/>
      </w:rPr>
      <mc:AlternateContent>
        <mc:Choice Requires="wps">
          <w:drawing>
            <wp:anchor distT="0" distB="0" distL="114300" distR="114300" simplePos="0" relativeHeight="251661312" behindDoc="0" locked="1" layoutInCell="1" allowOverlap="1" wp14:anchorId="4C0ED11C" wp14:editId="5AF5FAEA">
              <wp:simplePos x="0" y="0"/>
              <wp:positionH relativeFrom="column">
                <wp:align>left</wp:align>
              </wp:positionH>
              <wp:positionV relativeFrom="paragraph">
                <wp:posOffset>0</wp:posOffset>
              </wp:positionV>
              <wp:extent cx="890905" cy="62484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2426F" w14:textId="77777777" w:rsidR="00E2371E" w:rsidRPr="00671047" w:rsidRDefault="00E2371E" w:rsidP="000E2CE8">
                          <w:pPr>
                            <w:pStyle w:val="PageNo"/>
                            <w:jc w:val="left"/>
                          </w:pPr>
                          <w:r>
                            <w:fldChar w:fldCharType="begin"/>
                          </w:r>
                          <w:r>
                            <w:instrText xml:space="preserve"> PAGE   \* MERGEFORMAT </w:instrText>
                          </w:r>
                          <w:r>
                            <w:fldChar w:fldCharType="separate"/>
                          </w:r>
                          <w:r w:rsidR="006B6CE8">
                            <w:t>4–14</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0;margin-top:0;width:70.15pt;height:49.2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" filled="f" stroked="f" strokeweight=".5pt">
              <v:path arrowok="t"/>
              <v:textbox style="mso-fit-shape-to-text:t" inset="0,0,0,0">
                <w:txbxContent>
                  <w:p w14:paraId="7702426F" w14:textId="77777777" w:rsidR="00E2371E" w:rsidRPr="00671047" w:rsidRDefault="00E2371E" w:rsidP="000E2CE8">
                    <w:pPr>
                      <w:pStyle w:val="PageNo"/>
                      <w:jc w:val="left"/>
                    </w:pPr>
                    <w:r>
                      <w:fldChar w:fldCharType="begin"/>
                    </w:r>
                    <w:r>
                      <w:instrText xml:space="preserve"> PAGE   \* MERGEFORMAT </w:instrText>
                    </w:r>
                    <w:r>
                      <w:fldChar w:fldCharType="separate"/>
                    </w:r>
                    <w:r w:rsidR="006B6CE8">
                      <w:t>4–14</w:t>
                    </w:r>
                    <w:r>
                      <w:fldChar w:fldCharType="end"/>
                    </w:r>
                  </w:p>
                </w:txbxContent>
              </v:textbox>
              <w10:anchorlock/>
            </v:shape>
          </w:pict>
        </mc:Fallback>
      </mc:AlternateContent>
    </w:r>
    <w:r>
      <w:rPr>
        <w:lang w:eastAsia="en-AU"/>
      </w:rPr>
      <w:t xml:space="preserve"> </w: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622D9" w14:textId="10DDCE06" w:rsidR="00E2371E" w:rsidRPr="00184512" w:rsidRDefault="00E2371E"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63360" behindDoc="0" locked="1" layoutInCell="1" allowOverlap="1" wp14:anchorId="6F78FE67" wp14:editId="2CD20A31">
              <wp:simplePos x="0" y="0"/>
              <wp:positionH relativeFrom="rightMargin">
                <wp:posOffset>-900430</wp:posOffset>
              </wp:positionH>
              <wp:positionV relativeFrom="paragraph">
                <wp:posOffset>0</wp:posOffset>
              </wp:positionV>
              <wp:extent cx="899795" cy="624840"/>
              <wp:effectExtent l="0" t="0" r="146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04E07" w14:textId="77777777" w:rsidR="00E2371E" w:rsidRPr="00671047" w:rsidRDefault="00E2371E" w:rsidP="00D80A9E">
                          <w:pPr>
                            <w:pStyle w:val="PageNo"/>
                          </w:pPr>
                          <w:r>
                            <w:fldChar w:fldCharType="begin"/>
                          </w:r>
                          <w:r>
                            <w:instrText xml:space="preserve"> PAGE   \* MERGEFORMAT </w:instrText>
                          </w:r>
                          <w:r>
                            <w:fldChar w:fldCharType="separate"/>
                          </w:r>
                          <w:r w:rsidR="006B6CE8">
                            <w:t>4–13</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70.9pt;margin-top:0;width:70.85pt;height:49.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" filled="f" stroked="f" strokeweight=".5pt">
              <v:path arrowok="t"/>
              <v:textbox style="mso-fit-shape-to-text:t" inset="0,0,0,0">
                <w:txbxContent>
                  <w:p w14:paraId="30D04E07" w14:textId="77777777" w:rsidR="00E2371E" w:rsidRPr="00671047" w:rsidRDefault="00E2371E" w:rsidP="00D80A9E">
                    <w:pPr>
                      <w:pStyle w:val="PageNo"/>
                    </w:pPr>
                    <w:r>
                      <w:fldChar w:fldCharType="begin"/>
                    </w:r>
                    <w:r>
                      <w:instrText xml:space="preserve"> PAGE   \* MERGEFORMAT </w:instrText>
                    </w:r>
                    <w:r>
                      <w:fldChar w:fldCharType="separate"/>
                    </w:r>
                    <w:r w:rsidR="006B6CE8">
                      <w:t>4–13</w:t>
                    </w:r>
                    <w:r>
                      <w:fldChar w:fldCharType="end"/>
                    </w:r>
                  </w:p>
                </w:txbxContent>
              </v:textbox>
              <w10:wrap anchorx="margin"/>
              <w10:anchorlock/>
            </v:shape>
          </w:pict>
        </mc:Fallback>
      </mc:AlternateContent>
    </w:r>
    <w:r>
      <w:rPr>
        <w:color w:val="00BAD4" w:themeColor="text2"/>
      </w:rPr>
      <w:t>Environment Effects Statement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5E38" w14:textId="7C15778E" w:rsidR="00E2371E" w:rsidRPr="00184512" w:rsidRDefault="00E2371E" w:rsidP="00792161">
    <w:pPr>
      <w:pStyle w:val="Footer"/>
      <w:jc w:val="right"/>
    </w:pPr>
    <w:r>
      <w:rPr>
        <w:lang w:eastAsia="en-AU"/>
      </w:rPr>
      <mc:AlternateContent>
        <mc:Choice Requires="wps">
          <w:drawing>
            <wp:anchor distT="0" distB="0" distL="114300" distR="114300" simplePos="0" relativeHeight="251699200" behindDoc="0" locked="1" layoutInCell="1" allowOverlap="1" wp14:anchorId="4D9E2273" wp14:editId="2A5AE525">
              <wp:simplePos x="0" y="0"/>
              <wp:positionH relativeFrom="column">
                <wp:align>left</wp:align>
              </wp:positionH>
              <wp:positionV relativeFrom="paragraph">
                <wp:posOffset>0</wp:posOffset>
              </wp:positionV>
              <wp:extent cx="890905" cy="62484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843E8" w14:textId="77777777" w:rsidR="00E2371E" w:rsidRPr="00671047" w:rsidRDefault="00E2371E" w:rsidP="000E2CE8">
                          <w:pPr>
                            <w:pStyle w:val="PageNo"/>
                            <w:jc w:val="left"/>
                          </w:pPr>
                          <w:r>
                            <w:fldChar w:fldCharType="begin"/>
                          </w:r>
                          <w:r>
                            <w:instrText xml:space="preserve"> PAGE   \* MERGEFORMAT </w:instrText>
                          </w:r>
                          <w:r>
                            <w:fldChar w:fldCharType="separate"/>
                          </w:r>
                          <w:r w:rsidR="006B6CE8">
                            <w:t>4–20</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0;margin-top:0;width:70.15pt;height:49.2pt;z-index:2516992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" filled="f" stroked="f" strokeweight=".5pt">
              <v:path arrowok="t"/>
              <v:textbox style="mso-fit-shape-to-text:t" inset="0,0,0,0">
                <w:txbxContent>
                  <w:p w14:paraId="4C7843E8" w14:textId="77777777" w:rsidR="00E2371E" w:rsidRPr="00671047" w:rsidRDefault="00E2371E" w:rsidP="000E2CE8">
                    <w:pPr>
                      <w:pStyle w:val="PageNo"/>
                      <w:jc w:val="left"/>
                    </w:pPr>
                    <w:r>
                      <w:fldChar w:fldCharType="begin"/>
                    </w:r>
                    <w:r>
                      <w:instrText xml:space="preserve"> PAGE   \* MERGEFORMAT </w:instrText>
                    </w:r>
                    <w:r>
                      <w:fldChar w:fldCharType="separate"/>
                    </w:r>
                    <w:r w:rsidR="006B6CE8">
                      <w:t>4–20</w:t>
                    </w:r>
                    <w:r>
                      <w:fldChar w:fldCharType="end"/>
                    </w:r>
                  </w:p>
                </w:txbxContent>
              </v:textbox>
              <w10:anchorlock/>
            </v:shape>
          </w:pict>
        </mc:Fallback>
      </mc:AlternateContent>
    </w:r>
    <w:r>
      <w:rPr>
        <w:lang w:eastAsia="en-AU"/>
      </w:rPr>
      <w:t xml:space="preserve"> </w: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6F28F" w14:textId="5940E8A3" w:rsidR="00E2371E" w:rsidRPr="00184512" w:rsidRDefault="00E2371E"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97152" behindDoc="0" locked="1" layoutInCell="1" allowOverlap="1" wp14:anchorId="469C8366" wp14:editId="78D33263">
              <wp:simplePos x="0" y="0"/>
              <wp:positionH relativeFrom="rightMargin">
                <wp:posOffset>-900430</wp:posOffset>
              </wp:positionH>
              <wp:positionV relativeFrom="paragraph">
                <wp:posOffset>0</wp:posOffset>
              </wp:positionV>
              <wp:extent cx="899795" cy="624840"/>
              <wp:effectExtent l="0" t="0" r="146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C2607" w14:textId="77777777" w:rsidR="00E2371E" w:rsidRPr="00671047" w:rsidRDefault="00E2371E" w:rsidP="00D80A9E">
                          <w:pPr>
                            <w:pStyle w:val="PageNo"/>
                          </w:pPr>
                          <w:r>
                            <w:fldChar w:fldCharType="begin"/>
                          </w:r>
                          <w:r>
                            <w:instrText xml:space="preserve"> PAGE   \* MERGEFORMAT </w:instrText>
                          </w:r>
                          <w:r>
                            <w:fldChar w:fldCharType="separate"/>
                          </w:r>
                          <w:r w:rsidR="006B6CE8">
                            <w:t>4–21</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70.9pt;margin-top:0;width:70.85pt;height:49.2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" filled="f" stroked="f" strokeweight=".5pt">
              <v:path arrowok="t"/>
              <v:textbox style="mso-fit-shape-to-text:t" inset="0,0,0,0">
                <w:txbxContent>
                  <w:p w14:paraId="5C7C2607" w14:textId="77777777" w:rsidR="00E2371E" w:rsidRPr="00671047" w:rsidRDefault="00E2371E" w:rsidP="00D80A9E">
                    <w:pPr>
                      <w:pStyle w:val="PageNo"/>
                    </w:pPr>
                    <w:r>
                      <w:fldChar w:fldCharType="begin"/>
                    </w:r>
                    <w:r>
                      <w:instrText xml:space="preserve"> PAGE   \* MERGEFORMAT </w:instrText>
                    </w:r>
                    <w:r>
                      <w:fldChar w:fldCharType="separate"/>
                    </w:r>
                    <w:r w:rsidR="006B6CE8">
                      <w:t>4–21</w:t>
                    </w:r>
                    <w:r>
                      <w:fldChar w:fldCharType="end"/>
                    </w:r>
                  </w:p>
                </w:txbxContent>
              </v:textbox>
              <w10:wrap anchorx="margin"/>
              <w10:anchorlock/>
            </v:shape>
          </w:pict>
        </mc:Fallback>
      </mc:AlternateContent>
    </w:r>
    <w:r>
      <w:rPr>
        <w:color w:val="00BAD4" w:themeColor="text2"/>
      </w:rPr>
      <w:t>Environment Effects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5EBA" w14:textId="77777777" w:rsidR="00E920FA" w:rsidRDefault="00E920FA" w:rsidP="0036083B">
      <w:pPr>
        <w:spacing w:before="360"/>
      </w:pPr>
      <w:r>
        <w:separator/>
      </w:r>
    </w:p>
  </w:footnote>
  <w:footnote w:type="continuationSeparator" w:id="0">
    <w:p w14:paraId="4B94E6CD" w14:textId="77777777" w:rsidR="00E920FA" w:rsidRDefault="00E920FA" w:rsidP="0036083B">
      <w:pPr>
        <w:spacing w:before="360"/>
      </w:pPr>
      <w:r>
        <w:continuationSeparator/>
      </w:r>
    </w:p>
  </w:footnote>
  <w:footnote w:type="continuationNotice" w:id="1">
    <w:p w14:paraId="52BF5E2E" w14:textId="77777777" w:rsidR="00E920FA" w:rsidRDefault="00E920FA" w:rsidP="00A02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6A73" w14:textId="77777777" w:rsidR="00E2371E" w:rsidRDefault="00E23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nsid w:val="076E438D"/>
    <w:multiLevelType w:val="multilevel"/>
    <w:tmpl w:val="95A09532"/>
    <w:lvl w:ilvl="0">
      <w:start w:val="4"/>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418" w:hanging="1418"/>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4">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4B3042"/>
    <w:multiLevelType w:val="multilevel"/>
    <w:tmpl w:val="023E70F8"/>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6"/>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5"/>
  </w:num>
  <w:num w:numId="24">
    <w:abstractNumId w:val="5"/>
  </w:num>
  <w:num w:numId="25">
    <w:abstractNumId w:val="2"/>
  </w:num>
  <w:num w:numId="26">
    <w:abstractNumId w:val="1"/>
  </w:num>
  <w:num w:numId="27">
    <w:abstractNumId w:val="0"/>
  </w:num>
  <w:num w:numId="28">
    <w:abstractNumId w:val="6"/>
  </w:num>
  <w:num w:numId="29">
    <w:abstractNumId w:val="4"/>
  </w:num>
  <w:num w:numId="30">
    <w:abstractNumId w:val="4"/>
  </w:num>
  <w:num w:numId="31">
    <w:abstractNumId w:val="4"/>
  </w:num>
  <w:num w:numId="32">
    <w:abstractNumId w:val="6"/>
  </w:num>
  <w:num w:numId="33">
    <w:abstractNumId w:val="4"/>
  </w:num>
  <w:num w:numId="34">
    <w:abstractNumId w:val="4"/>
  </w:num>
  <w:num w:numId="35">
    <w:abstractNumId w:val="4"/>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attachedTemplate r:id="rId1"/>
  <w:stylePaneSortMethod w:val="0000"/>
  <w:styleLockTheme/>
  <w:styleLockQFSet/>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81"/>
    <w:rsid w:val="00003622"/>
    <w:rsid w:val="0000641D"/>
    <w:rsid w:val="00013C24"/>
    <w:rsid w:val="00014A01"/>
    <w:rsid w:val="00017047"/>
    <w:rsid w:val="00021CEC"/>
    <w:rsid w:val="00021DF6"/>
    <w:rsid w:val="00023787"/>
    <w:rsid w:val="00024FF8"/>
    <w:rsid w:val="00025963"/>
    <w:rsid w:val="000267FC"/>
    <w:rsid w:val="00027AFC"/>
    <w:rsid w:val="00030198"/>
    <w:rsid w:val="000303C6"/>
    <w:rsid w:val="00036C14"/>
    <w:rsid w:val="000370FB"/>
    <w:rsid w:val="00037C11"/>
    <w:rsid w:val="00037D07"/>
    <w:rsid w:val="0004094D"/>
    <w:rsid w:val="00044695"/>
    <w:rsid w:val="0004776D"/>
    <w:rsid w:val="00047F4F"/>
    <w:rsid w:val="00050881"/>
    <w:rsid w:val="00050AF0"/>
    <w:rsid w:val="00053ED4"/>
    <w:rsid w:val="000639E5"/>
    <w:rsid w:val="00070A2B"/>
    <w:rsid w:val="0007669C"/>
    <w:rsid w:val="00080123"/>
    <w:rsid w:val="00083077"/>
    <w:rsid w:val="00095E7F"/>
    <w:rsid w:val="00096257"/>
    <w:rsid w:val="00097274"/>
    <w:rsid w:val="000A247E"/>
    <w:rsid w:val="000A2CC7"/>
    <w:rsid w:val="000A4DFB"/>
    <w:rsid w:val="000A661C"/>
    <w:rsid w:val="000A6D22"/>
    <w:rsid w:val="000B5B9F"/>
    <w:rsid w:val="000B5D48"/>
    <w:rsid w:val="000B5E04"/>
    <w:rsid w:val="000B7555"/>
    <w:rsid w:val="000C0031"/>
    <w:rsid w:val="000C2458"/>
    <w:rsid w:val="000C2DBD"/>
    <w:rsid w:val="000C3B1C"/>
    <w:rsid w:val="000C4409"/>
    <w:rsid w:val="000C5AB3"/>
    <w:rsid w:val="000C6688"/>
    <w:rsid w:val="000C7280"/>
    <w:rsid w:val="000C7A90"/>
    <w:rsid w:val="000C7E4F"/>
    <w:rsid w:val="000D0DB0"/>
    <w:rsid w:val="000D16A5"/>
    <w:rsid w:val="000D255B"/>
    <w:rsid w:val="000D4CE8"/>
    <w:rsid w:val="000D709B"/>
    <w:rsid w:val="000E0B71"/>
    <w:rsid w:val="000E1DAB"/>
    <w:rsid w:val="000E2CE8"/>
    <w:rsid w:val="000E72D1"/>
    <w:rsid w:val="000F2147"/>
    <w:rsid w:val="000F3515"/>
    <w:rsid w:val="000F5477"/>
    <w:rsid w:val="000F65AF"/>
    <w:rsid w:val="00100D55"/>
    <w:rsid w:val="00102E14"/>
    <w:rsid w:val="00105B63"/>
    <w:rsid w:val="00105D1D"/>
    <w:rsid w:val="001078E8"/>
    <w:rsid w:val="001117ED"/>
    <w:rsid w:val="001130DB"/>
    <w:rsid w:val="0011558B"/>
    <w:rsid w:val="0011570F"/>
    <w:rsid w:val="00116DDF"/>
    <w:rsid w:val="00117B0A"/>
    <w:rsid w:val="00120813"/>
    <w:rsid w:val="00120DF1"/>
    <w:rsid w:val="00122FCC"/>
    <w:rsid w:val="00123162"/>
    <w:rsid w:val="001234E9"/>
    <w:rsid w:val="00124A1C"/>
    <w:rsid w:val="0012791D"/>
    <w:rsid w:val="001320D7"/>
    <w:rsid w:val="0013218F"/>
    <w:rsid w:val="00132E97"/>
    <w:rsid w:val="001331C9"/>
    <w:rsid w:val="00142291"/>
    <w:rsid w:val="00143C7D"/>
    <w:rsid w:val="00144BBA"/>
    <w:rsid w:val="00147E56"/>
    <w:rsid w:val="00150F46"/>
    <w:rsid w:val="00153CF5"/>
    <w:rsid w:val="001574D4"/>
    <w:rsid w:val="00157ECB"/>
    <w:rsid w:val="00163CED"/>
    <w:rsid w:val="001668AB"/>
    <w:rsid w:val="00166A76"/>
    <w:rsid w:val="00172168"/>
    <w:rsid w:val="0017249F"/>
    <w:rsid w:val="00173811"/>
    <w:rsid w:val="00174B84"/>
    <w:rsid w:val="00174C76"/>
    <w:rsid w:val="00174E12"/>
    <w:rsid w:val="00181925"/>
    <w:rsid w:val="00181A7E"/>
    <w:rsid w:val="00181FC4"/>
    <w:rsid w:val="0018300B"/>
    <w:rsid w:val="00184512"/>
    <w:rsid w:val="00192F51"/>
    <w:rsid w:val="0019472B"/>
    <w:rsid w:val="00196EC8"/>
    <w:rsid w:val="001976D2"/>
    <w:rsid w:val="001A181E"/>
    <w:rsid w:val="001A75E1"/>
    <w:rsid w:val="001A76AF"/>
    <w:rsid w:val="001A78B0"/>
    <w:rsid w:val="001B30F7"/>
    <w:rsid w:val="001B5D17"/>
    <w:rsid w:val="001C1A26"/>
    <w:rsid w:val="001C1E5B"/>
    <w:rsid w:val="001C5EC2"/>
    <w:rsid w:val="001C6171"/>
    <w:rsid w:val="001D25DA"/>
    <w:rsid w:val="001D3204"/>
    <w:rsid w:val="001D387F"/>
    <w:rsid w:val="001D3B17"/>
    <w:rsid w:val="001D5354"/>
    <w:rsid w:val="001D5F37"/>
    <w:rsid w:val="001D6464"/>
    <w:rsid w:val="001D6821"/>
    <w:rsid w:val="001D6F2D"/>
    <w:rsid w:val="001E013A"/>
    <w:rsid w:val="001E11E4"/>
    <w:rsid w:val="001E2899"/>
    <w:rsid w:val="001E7FC7"/>
    <w:rsid w:val="001F3F88"/>
    <w:rsid w:val="001F571B"/>
    <w:rsid w:val="001F6AA8"/>
    <w:rsid w:val="001F6DF9"/>
    <w:rsid w:val="001F7230"/>
    <w:rsid w:val="001F76EB"/>
    <w:rsid w:val="002021BF"/>
    <w:rsid w:val="00203929"/>
    <w:rsid w:val="0020399A"/>
    <w:rsid w:val="00204431"/>
    <w:rsid w:val="00204EE2"/>
    <w:rsid w:val="00207206"/>
    <w:rsid w:val="0021028A"/>
    <w:rsid w:val="002114BE"/>
    <w:rsid w:val="00212BA8"/>
    <w:rsid w:val="00213EDF"/>
    <w:rsid w:val="00214211"/>
    <w:rsid w:val="00217987"/>
    <w:rsid w:val="00220CDD"/>
    <w:rsid w:val="00222DEB"/>
    <w:rsid w:val="00223E5C"/>
    <w:rsid w:val="00224918"/>
    <w:rsid w:val="00224E65"/>
    <w:rsid w:val="002254D9"/>
    <w:rsid w:val="00225548"/>
    <w:rsid w:val="002274F3"/>
    <w:rsid w:val="00237A77"/>
    <w:rsid w:val="0024199C"/>
    <w:rsid w:val="00245F15"/>
    <w:rsid w:val="002469F2"/>
    <w:rsid w:val="0025023D"/>
    <w:rsid w:val="00252B98"/>
    <w:rsid w:val="00253B4A"/>
    <w:rsid w:val="0025542C"/>
    <w:rsid w:val="002561AD"/>
    <w:rsid w:val="0025787E"/>
    <w:rsid w:val="002609FD"/>
    <w:rsid w:val="00264D6B"/>
    <w:rsid w:val="00265073"/>
    <w:rsid w:val="0027245C"/>
    <w:rsid w:val="00273E4A"/>
    <w:rsid w:val="002748B9"/>
    <w:rsid w:val="002811F9"/>
    <w:rsid w:val="00281BBF"/>
    <w:rsid w:val="00282B57"/>
    <w:rsid w:val="00283B87"/>
    <w:rsid w:val="002867A7"/>
    <w:rsid w:val="002907F2"/>
    <w:rsid w:val="00292D2A"/>
    <w:rsid w:val="0029345C"/>
    <w:rsid w:val="00293BE9"/>
    <w:rsid w:val="002948A8"/>
    <w:rsid w:val="00294914"/>
    <w:rsid w:val="0029614E"/>
    <w:rsid w:val="002A05B1"/>
    <w:rsid w:val="002A1342"/>
    <w:rsid w:val="002A4734"/>
    <w:rsid w:val="002A4AF1"/>
    <w:rsid w:val="002B282F"/>
    <w:rsid w:val="002B4B77"/>
    <w:rsid w:val="002B65E9"/>
    <w:rsid w:val="002B6EF0"/>
    <w:rsid w:val="002C1713"/>
    <w:rsid w:val="002C2990"/>
    <w:rsid w:val="002C555F"/>
    <w:rsid w:val="002D0DF5"/>
    <w:rsid w:val="002D1B90"/>
    <w:rsid w:val="002D22B9"/>
    <w:rsid w:val="002D310F"/>
    <w:rsid w:val="002D3A61"/>
    <w:rsid w:val="002D5278"/>
    <w:rsid w:val="002E0392"/>
    <w:rsid w:val="002E07FE"/>
    <w:rsid w:val="002E0BB9"/>
    <w:rsid w:val="002E2BC7"/>
    <w:rsid w:val="002E3267"/>
    <w:rsid w:val="002E3E20"/>
    <w:rsid w:val="002E6F57"/>
    <w:rsid w:val="002F05B7"/>
    <w:rsid w:val="002F12AE"/>
    <w:rsid w:val="002F2CBF"/>
    <w:rsid w:val="002F30E8"/>
    <w:rsid w:val="002F3E9C"/>
    <w:rsid w:val="002F4826"/>
    <w:rsid w:val="0030118B"/>
    <w:rsid w:val="00302352"/>
    <w:rsid w:val="00303DF9"/>
    <w:rsid w:val="003103FD"/>
    <w:rsid w:val="0031041F"/>
    <w:rsid w:val="003108F5"/>
    <w:rsid w:val="003109B3"/>
    <w:rsid w:val="00312040"/>
    <w:rsid w:val="0031364F"/>
    <w:rsid w:val="00315FBA"/>
    <w:rsid w:val="00320991"/>
    <w:rsid w:val="00320D25"/>
    <w:rsid w:val="00320F05"/>
    <w:rsid w:val="00321B47"/>
    <w:rsid w:val="0032216E"/>
    <w:rsid w:val="00323E9D"/>
    <w:rsid w:val="00325F4E"/>
    <w:rsid w:val="00330302"/>
    <w:rsid w:val="0033435B"/>
    <w:rsid w:val="003365C1"/>
    <w:rsid w:val="003401A7"/>
    <w:rsid w:val="0034583A"/>
    <w:rsid w:val="003461B7"/>
    <w:rsid w:val="00347560"/>
    <w:rsid w:val="003524A6"/>
    <w:rsid w:val="00353BBB"/>
    <w:rsid w:val="003547C0"/>
    <w:rsid w:val="00355BCD"/>
    <w:rsid w:val="003565B0"/>
    <w:rsid w:val="00356F63"/>
    <w:rsid w:val="00357B46"/>
    <w:rsid w:val="0036083B"/>
    <w:rsid w:val="00362EB3"/>
    <w:rsid w:val="00367547"/>
    <w:rsid w:val="003679FD"/>
    <w:rsid w:val="00370C55"/>
    <w:rsid w:val="003727C6"/>
    <w:rsid w:val="003759DA"/>
    <w:rsid w:val="00376061"/>
    <w:rsid w:val="0037677C"/>
    <w:rsid w:val="00377F14"/>
    <w:rsid w:val="00380F3F"/>
    <w:rsid w:val="0038157F"/>
    <w:rsid w:val="00383BEB"/>
    <w:rsid w:val="0038622D"/>
    <w:rsid w:val="00386873"/>
    <w:rsid w:val="003877E0"/>
    <w:rsid w:val="00390E2D"/>
    <w:rsid w:val="00393047"/>
    <w:rsid w:val="003946AF"/>
    <w:rsid w:val="003975FE"/>
    <w:rsid w:val="003A3039"/>
    <w:rsid w:val="003A3A68"/>
    <w:rsid w:val="003B1121"/>
    <w:rsid w:val="003B2660"/>
    <w:rsid w:val="003B34B4"/>
    <w:rsid w:val="003C0B06"/>
    <w:rsid w:val="003C5558"/>
    <w:rsid w:val="003C65F6"/>
    <w:rsid w:val="003C76D5"/>
    <w:rsid w:val="003D0314"/>
    <w:rsid w:val="003D10B7"/>
    <w:rsid w:val="003D266F"/>
    <w:rsid w:val="003D303F"/>
    <w:rsid w:val="003D7E5A"/>
    <w:rsid w:val="003E1380"/>
    <w:rsid w:val="003E1CBD"/>
    <w:rsid w:val="003E281E"/>
    <w:rsid w:val="003E3812"/>
    <w:rsid w:val="003F1CA7"/>
    <w:rsid w:val="003F420F"/>
    <w:rsid w:val="003F47AB"/>
    <w:rsid w:val="003F5DD3"/>
    <w:rsid w:val="003F6A1C"/>
    <w:rsid w:val="003F7E5E"/>
    <w:rsid w:val="00402D0A"/>
    <w:rsid w:val="00402D84"/>
    <w:rsid w:val="0040469E"/>
    <w:rsid w:val="00406CA3"/>
    <w:rsid w:val="00406CDC"/>
    <w:rsid w:val="00413069"/>
    <w:rsid w:val="004141D7"/>
    <w:rsid w:val="00417616"/>
    <w:rsid w:val="0042310B"/>
    <w:rsid w:val="004242AE"/>
    <w:rsid w:val="00424A7C"/>
    <w:rsid w:val="00426DFE"/>
    <w:rsid w:val="00431510"/>
    <w:rsid w:val="004318B9"/>
    <w:rsid w:val="00432957"/>
    <w:rsid w:val="004339BF"/>
    <w:rsid w:val="00440D00"/>
    <w:rsid w:val="00442CFF"/>
    <w:rsid w:val="00444EF7"/>
    <w:rsid w:val="00445489"/>
    <w:rsid w:val="004466F3"/>
    <w:rsid w:val="00446F35"/>
    <w:rsid w:val="0044779F"/>
    <w:rsid w:val="0045239B"/>
    <w:rsid w:val="00452575"/>
    <w:rsid w:val="00455F4F"/>
    <w:rsid w:val="0046201B"/>
    <w:rsid w:val="00462270"/>
    <w:rsid w:val="00464C87"/>
    <w:rsid w:val="004655E6"/>
    <w:rsid w:val="00467F30"/>
    <w:rsid w:val="004700A2"/>
    <w:rsid w:val="004733D1"/>
    <w:rsid w:val="00473B20"/>
    <w:rsid w:val="00473FCF"/>
    <w:rsid w:val="0047403B"/>
    <w:rsid w:val="004769EC"/>
    <w:rsid w:val="00477850"/>
    <w:rsid w:val="0048004A"/>
    <w:rsid w:val="00482AE4"/>
    <w:rsid w:val="00483363"/>
    <w:rsid w:val="004837F4"/>
    <w:rsid w:val="00483C20"/>
    <w:rsid w:val="00485503"/>
    <w:rsid w:val="00485C9D"/>
    <w:rsid w:val="00486F0E"/>
    <w:rsid w:val="00492613"/>
    <w:rsid w:val="0049571F"/>
    <w:rsid w:val="00495B17"/>
    <w:rsid w:val="00497842"/>
    <w:rsid w:val="004A1755"/>
    <w:rsid w:val="004A1A93"/>
    <w:rsid w:val="004A25A9"/>
    <w:rsid w:val="004A32BF"/>
    <w:rsid w:val="004A505C"/>
    <w:rsid w:val="004A55F8"/>
    <w:rsid w:val="004A71F6"/>
    <w:rsid w:val="004B02C2"/>
    <w:rsid w:val="004B127C"/>
    <w:rsid w:val="004B1D4C"/>
    <w:rsid w:val="004B40C2"/>
    <w:rsid w:val="004B6002"/>
    <w:rsid w:val="004B6B78"/>
    <w:rsid w:val="004C1CD1"/>
    <w:rsid w:val="004C3157"/>
    <w:rsid w:val="004C3C0E"/>
    <w:rsid w:val="004C5028"/>
    <w:rsid w:val="004C6EBF"/>
    <w:rsid w:val="004C72D8"/>
    <w:rsid w:val="004C7C8E"/>
    <w:rsid w:val="004D2352"/>
    <w:rsid w:val="004D3B36"/>
    <w:rsid w:val="004D5078"/>
    <w:rsid w:val="004D7600"/>
    <w:rsid w:val="004D7E0B"/>
    <w:rsid w:val="004E3A1F"/>
    <w:rsid w:val="004E4B85"/>
    <w:rsid w:val="004F6A83"/>
    <w:rsid w:val="004F6FF0"/>
    <w:rsid w:val="004F7D42"/>
    <w:rsid w:val="00501622"/>
    <w:rsid w:val="00504BC3"/>
    <w:rsid w:val="00505DE8"/>
    <w:rsid w:val="00506AF3"/>
    <w:rsid w:val="00507661"/>
    <w:rsid w:val="00514D82"/>
    <w:rsid w:val="00514F08"/>
    <w:rsid w:val="005151D9"/>
    <w:rsid w:val="00515CA0"/>
    <w:rsid w:val="005210AD"/>
    <w:rsid w:val="005217F3"/>
    <w:rsid w:val="005217F5"/>
    <w:rsid w:val="005248A1"/>
    <w:rsid w:val="00526B45"/>
    <w:rsid w:val="00526CCC"/>
    <w:rsid w:val="00530CE8"/>
    <w:rsid w:val="00541235"/>
    <w:rsid w:val="00541E1F"/>
    <w:rsid w:val="005469E6"/>
    <w:rsid w:val="00546B16"/>
    <w:rsid w:val="00546B28"/>
    <w:rsid w:val="0055013A"/>
    <w:rsid w:val="00553022"/>
    <w:rsid w:val="005554F8"/>
    <w:rsid w:val="00555842"/>
    <w:rsid w:val="00560C70"/>
    <w:rsid w:val="00561179"/>
    <w:rsid w:val="0056128E"/>
    <w:rsid w:val="00561EE9"/>
    <w:rsid w:val="00562578"/>
    <w:rsid w:val="005726F5"/>
    <w:rsid w:val="0057391D"/>
    <w:rsid w:val="0057465A"/>
    <w:rsid w:val="005759B3"/>
    <w:rsid w:val="005769EB"/>
    <w:rsid w:val="00576E67"/>
    <w:rsid w:val="00577E17"/>
    <w:rsid w:val="00584114"/>
    <w:rsid w:val="00584A30"/>
    <w:rsid w:val="00593B97"/>
    <w:rsid w:val="0059442A"/>
    <w:rsid w:val="00594B31"/>
    <w:rsid w:val="005A1F81"/>
    <w:rsid w:val="005A4ABD"/>
    <w:rsid w:val="005A4F3A"/>
    <w:rsid w:val="005A5221"/>
    <w:rsid w:val="005A54BA"/>
    <w:rsid w:val="005A6DF0"/>
    <w:rsid w:val="005A70AD"/>
    <w:rsid w:val="005B4698"/>
    <w:rsid w:val="005B796D"/>
    <w:rsid w:val="005C0108"/>
    <w:rsid w:val="005C0ABF"/>
    <w:rsid w:val="005C2F2C"/>
    <w:rsid w:val="005C40D6"/>
    <w:rsid w:val="005C44B4"/>
    <w:rsid w:val="005C50AF"/>
    <w:rsid w:val="005C65BD"/>
    <w:rsid w:val="005D0C21"/>
    <w:rsid w:val="005D0C80"/>
    <w:rsid w:val="005D4B62"/>
    <w:rsid w:val="005D57B1"/>
    <w:rsid w:val="005D5972"/>
    <w:rsid w:val="005D6F64"/>
    <w:rsid w:val="005E203E"/>
    <w:rsid w:val="005E3F1B"/>
    <w:rsid w:val="005E4B51"/>
    <w:rsid w:val="005E7A22"/>
    <w:rsid w:val="005F0552"/>
    <w:rsid w:val="005F06E7"/>
    <w:rsid w:val="005F21D1"/>
    <w:rsid w:val="005F4F6C"/>
    <w:rsid w:val="00600D77"/>
    <w:rsid w:val="00602D49"/>
    <w:rsid w:val="0060421B"/>
    <w:rsid w:val="006049A7"/>
    <w:rsid w:val="00606B19"/>
    <w:rsid w:val="00607B81"/>
    <w:rsid w:val="00610905"/>
    <w:rsid w:val="00614370"/>
    <w:rsid w:val="00615371"/>
    <w:rsid w:val="00615C9A"/>
    <w:rsid w:val="006162DA"/>
    <w:rsid w:val="00616446"/>
    <w:rsid w:val="006165E2"/>
    <w:rsid w:val="006174CB"/>
    <w:rsid w:val="00617D69"/>
    <w:rsid w:val="00620023"/>
    <w:rsid w:val="00622B87"/>
    <w:rsid w:val="006274A2"/>
    <w:rsid w:val="00627DD4"/>
    <w:rsid w:val="00631BA0"/>
    <w:rsid w:val="006349D4"/>
    <w:rsid w:val="00634A00"/>
    <w:rsid w:val="00640C2D"/>
    <w:rsid w:val="0064197D"/>
    <w:rsid w:val="00642453"/>
    <w:rsid w:val="00644D15"/>
    <w:rsid w:val="00646BE7"/>
    <w:rsid w:val="00646ECA"/>
    <w:rsid w:val="006515EA"/>
    <w:rsid w:val="00653D67"/>
    <w:rsid w:val="00654459"/>
    <w:rsid w:val="00654F81"/>
    <w:rsid w:val="00655CD5"/>
    <w:rsid w:val="006631EA"/>
    <w:rsid w:val="00663EA8"/>
    <w:rsid w:val="00664A9C"/>
    <w:rsid w:val="00664BB6"/>
    <w:rsid w:val="0066659B"/>
    <w:rsid w:val="00667E68"/>
    <w:rsid w:val="006706F1"/>
    <w:rsid w:val="00671047"/>
    <w:rsid w:val="0067178E"/>
    <w:rsid w:val="00672EF0"/>
    <w:rsid w:val="006733BB"/>
    <w:rsid w:val="0067362F"/>
    <w:rsid w:val="0068007D"/>
    <w:rsid w:val="00681821"/>
    <w:rsid w:val="00681F21"/>
    <w:rsid w:val="006832F9"/>
    <w:rsid w:val="00685655"/>
    <w:rsid w:val="006873EF"/>
    <w:rsid w:val="0069118A"/>
    <w:rsid w:val="00691E3B"/>
    <w:rsid w:val="006920C8"/>
    <w:rsid w:val="006953AF"/>
    <w:rsid w:val="006A32BE"/>
    <w:rsid w:val="006A39BE"/>
    <w:rsid w:val="006A5BC5"/>
    <w:rsid w:val="006A616C"/>
    <w:rsid w:val="006A76CA"/>
    <w:rsid w:val="006B24AA"/>
    <w:rsid w:val="006B310A"/>
    <w:rsid w:val="006B475B"/>
    <w:rsid w:val="006B4EBB"/>
    <w:rsid w:val="006B5506"/>
    <w:rsid w:val="006B6CE8"/>
    <w:rsid w:val="006C3300"/>
    <w:rsid w:val="006C3C2E"/>
    <w:rsid w:val="006C6A18"/>
    <w:rsid w:val="006C6A97"/>
    <w:rsid w:val="006D1AD8"/>
    <w:rsid w:val="006D28B3"/>
    <w:rsid w:val="006D2A06"/>
    <w:rsid w:val="006D62CF"/>
    <w:rsid w:val="006E0CB6"/>
    <w:rsid w:val="006E1AA6"/>
    <w:rsid w:val="006E2B12"/>
    <w:rsid w:val="006E3512"/>
    <w:rsid w:val="006E6FF6"/>
    <w:rsid w:val="006E7C63"/>
    <w:rsid w:val="006F1EEA"/>
    <w:rsid w:val="006F5AEB"/>
    <w:rsid w:val="006F7967"/>
    <w:rsid w:val="00700070"/>
    <w:rsid w:val="0070018E"/>
    <w:rsid w:val="00702EE7"/>
    <w:rsid w:val="00702F7E"/>
    <w:rsid w:val="0070496E"/>
    <w:rsid w:val="00711873"/>
    <w:rsid w:val="00711895"/>
    <w:rsid w:val="00713D80"/>
    <w:rsid w:val="00715BAA"/>
    <w:rsid w:val="00722ADF"/>
    <w:rsid w:val="007234F3"/>
    <w:rsid w:val="00725095"/>
    <w:rsid w:val="00725229"/>
    <w:rsid w:val="007310BC"/>
    <w:rsid w:val="007355DF"/>
    <w:rsid w:val="00741C47"/>
    <w:rsid w:val="00743987"/>
    <w:rsid w:val="00746949"/>
    <w:rsid w:val="00750425"/>
    <w:rsid w:val="007505D3"/>
    <w:rsid w:val="00750C65"/>
    <w:rsid w:val="00755ACC"/>
    <w:rsid w:val="007606DC"/>
    <w:rsid w:val="00761A4B"/>
    <w:rsid w:val="00762404"/>
    <w:rsid w:val="00765D6A"/>
    <w:rsid w:val="0076637A"/>
    <w:rsid w:val="007704B8"/>
    <w:rsid w:val="00770981"/>
    <w:rsid w:val="00771B5B"/>
    <w:rsid w:val="00771FF4"/>
    <w:rsid w:val="007767A6"/>
    <w:rsid w:val="00780259"/>
    <w:rsid w:val="00780E00"/>
    <w:rsid w:val="0078236F"/>
    <w:rsid w:val="007830DB"/>
    <w:rsid w:val="007838AF"/>
    <w:rsid w:val="00787E68"/>
    <w:rsid w:val="007913F5"/>
    <w:rsid w:val="00792161"/>
    <w:rsid w:val="007931FE"/>
    <w:rsid w:val="00793760"/>
    <w:rsid w:val="00793BE0"/>
    <w:rsid w:val="007A4768"/>
    <w:rsid w:val="007A4B3B"/>
    <w:rsid w:val="007A63FE"/>
    <w:rsid w:val="007A6909"/>
    <w:rsid w:val="007A708E"/>
    <w:rsid w:val="007B0C6C"/>
    <w:rsid w:val="007B1248"/>
    <w:rsid w:val="007B1C66"/>
    <w:rsid w:val="007B35DB"/>
    <w:rsid w:val="007B76AD"/>
    <w:rsid w:val="007C022F"/>
    <w:rsid w:val="007C20B1"/>
    <w:rsid w:val="007C45F9"/>
    <w:rsid w:val="007C4D71"/>
    <w:rsid w:val="007D167B"/>
    <w:rsid w:val="007D5167"/>
    <w:rsid w:val="007E1530"/>
    <w:rsid w:val="007E157D"/>
    <w:rsid w:val="007E6CAC"/>
    <w:rsid w:val="007F008C"/>
    <w:rsid w:val="007F13D0"/>
    <w:rsid w:val="007F5380"/>
    <w:rsid w:val="007F5BFE"/>
    <w:rsid w:val="007F7872"/>
    <w:rsid w:val="00800505"/>
    <w:rsid w:val="00801F81"/>
    <w:rsid w:val="008026F0"/>
    <w:rsid w:val="008032B1"/>
    <w:rsid w:val="0080353C"/>
    <w:rsid w:val="00804DC5"/>
    <w:rsid w:val="00805A32"/>
    <w:rsid w:val="00807365"/>
    <w:rsid w:val="0081374A"/>
    <w:rsid w:val="00813E8B"/>
    <w:rsid w:val="008150C4"/>
    <w:rsid w:val="00815685"/>
    <w:rsid w:val="00817212"/>
    <w:rsid w:val="008206F9"/>
    <w:rsid w:val="008207E8"/>
    <w:rsid w:val="008213EB"/>
    <w:rsid w:val="00821F0A"/>
    <w:rsid w:val="00824AD5"/>
    <w:rsid w:val="00824E4B"/>
    <w:rsid w:val="00825B8D"/>
    <w:rsid w:val="008277B6"/>
    <w:rsid w:val="00830076"/>
    <w:rsid w:val="008300D1"/>
    <w:rsid w:val="00835370"/>
    <w:rsid w:val="00835A90"/>
    <w:rsid w:val="0083670B"/>
    <w:rsid w:val="0083677E"/>
    <w:rsid w:val="00836EA3"/>
    <w:rsid w:val="0084174D"/>
    <w:rsid w:val="0084205A"/>
    <w:rsid w:val="0084307D"/>
    <w:rsid w:val="0084698F"/>
    <w:rsid w:val="008476AC"/>
    <w:rsid w:val="00851BB7"/>
    <w:rsid w:val="0085261C"/>
    <w:rsid w:val="00853623"/>
    <w:rsid w:val="00853807"/>
    <w:rsid w:val="00855449"/>
    <w:rsid w:val="008632CB"/>
    <w:rsid w:val="00864C2A"/>
    <w:rsid w:val="008660CE"/>
    <w:rsid w:val="00873926"/>
    <w:rsid w:val="0087697F"/>
    <w:rsid w:val="008821C2"/>
    <w:rsid w:val="00891245"/>
    <w:rsid w:val="008912F0"/>
    <w:rsid w:val="00892BBD"/>
    <w:rsid w:val="00895AF1"/>
    <w:rsid w:val="0089785B"/>
    <w:rsid w:val="008978E0"/>
    <w:rsid w:val="008A342C"/>
    <w:rsid w:val="008A6602"/>
    <w:rsid w:val="008A6729"/>
    <w:rsid w:val="008A7A62"/>
    <w:rsid w:val="008B0140"/>
    <w:rsid w:val="008B14FC"/>
    <w:rsid w:val="008B15B0"/>
    <w:rsid w:val="008B2733"/>
    <w:rsid w:val="008B6941"/>
    <w:rsid w:val="008B7C2E"/>
    <w:rsid w:val="008C22A7"/>
    <w:rsid w:val="008C4729"/>
    <w:rsid w:val="008C4C87"/>
    <w:rsid w:val="008D14E7"/>
    <w:rsid w:val="008D1A44"/>
    <w:rsid w:val="008D1B5A"/>
    <w:rsid w:val="008D2F19"/>
    <w:rsid w:val="008D3245"/>
    <w:rsid w:val="008D3DF3"/>
    <w:rsid w:val="008E3694"/>
    <w:rsid w:val="008E687E"/>
    <w:rsid w:val="008E746F"/>
    <w:rsid w:val="008F0161"/>
    <w:rsid w:val="008F14A1"/>
    <w:rsid w:val="008F23F7"/>
    <w:rsid w:val="008F3EDC"/>
    <w:rsid w:val="008F6AD5"/>
    <w:rsid w:val="008F6C75"/>
    <w:rsid w:val="008F705C"/>
    <w:rsid w:val="00902DB7"/>
    <w:rsid w:val="00903886"/>
    <w:rsid w:val="00903E84"/>
    <w:rsid w:val="0090405B"/>
    <w:rsid w:val="0090765B"/>
    <w:rsid w:val="009105B7"/>
    <w:rsid w:val="009109C1"/>
    <w:rsid w:val="00912409"/>
    <w:rsid w:val="00913058"/>
    <w:rsid w:val="0091346B"/>
    <w:rsid w:val="0091417F"/>
    <w:rsid w:val="00923FA7"/>
    <w:rsid w:val="009255E3"/>
    <w:rsid w:val="00930539"/>
    <w:rsid w:val="00931512"/>
    <w:rsid w:val="00934266"/>
    <w:rsid w:val="00935367"/>
    <w:rsid w:val="00936083"/>
    <w:rsid w:val="009372CC"/>
    <w:rsid w:val="00943408"/>
    <w:rsid w:val="00944625"/>
    <w:rsid w:val="00945112"/>
    <w:rsid w:val="00945BEE"/>
    <w:rsid w:val="009468A1"/>
    <w:rsid w:val="00946D02"/>
    <w:rsid w:val="00947F42"/>
    <w:rsid w:val="00953922"/>
    <w:rsid w:val="00954DB2"/>
    <w:rsid w:val="0095520B"/>
    <w:rsid w:val="00955312"/>
    <w:rsid w:val="009560F7"/>
    <w:rsid w:val="009578C6"/>
    <w:rsid w:val="0096036F"/>
    <w:rsid w:val="0096215F"/>
    <w:rsid w:val="00962732"/>
    <w:rsid w:val="00963E90"/>
    <w:rsid w:val="00965C20"/>
    <w:rsid w:val="0096644F"/>
    <w:rsid w:val="0097006C"/>
    <w:rsid w:val="00971D9E"/>
    <w:rsid w:val="009731D8"/>
    <w:rsid w:val="00974944"/>
    <w:rsid w:val="009754A5"/>
    <w:rsid w:val="00975971"/>
    <w:rsid w:val="009775A5"/>
    <w:rsid w:val="00982B12"/>
    <w:rsid w:val="00982F42"/>
    <w:rsid w:val="009831DE"/>
    <w:rsid w:val="00990209"/>
    <w:rsid w:val="00991016"/>
    <w:rsid w:val="00991215"/>
    <w:rsid w:val="009A0854"/>
    <w:rsid w:val="009A2890"/>
    <w:rsid w:val="009A3A36"/>
    <w:rsid w:val="009A44C4"/>
    <w:rsid w:val="009B282F"/>
    <w:rsid w:val="009B47A1"/>
    <w:rsid w:val="009B5232"/>
    <w:rsid w:val="009C0696"/>
    <w:rsid w:val="009C0DE0"/>
    <w:rsid w:val="009C1260"/>
    <w:rsid w:val="009C1824"/>
    <w:rsid w:val="009C739D"/>
    <w:rsid w:val="009C7B60"/>
    <w:rsid w:val="009D283F"/>
    <w:rsid w:val="009D4306"/>
    <w:rsid w:val="009E10A6"/>
    <w:rsid w:val="009E3121"/>
    <w:rsid w:val="009E34A7"/>
    <w:rsid w:val="009E7919"/>
    <w:rsid w:val="009E7EA5"/>
    <w:rsid w:val="009F183C"/>
    <w:rsid w:val="009F1D4F"/>
    <w:rsid w:val="009F2E9A"/>
    <w:rsid w:val="009F472C"/>
    <w:rsid w:val="009F548D"/>
    <w:rsid w:val="009F59A0"/>
    <w:rsid w:val="009F5A57"/>
    <w:rsid w:val="009F69AD"/>
    <w:rsid w:val="00A00706"/>
    <w:rsid w:val="00A00DC5"/>
    <w:rsid w:val="00A00F62"/>
    <w:rsid w:val="00A0110B"/>
    <w:rsid w:val="00A02194"/>
    <w:rsid w:val="00A02FC6"/>
    <w:rsid w:val="00A058C4"/>
    <w:rsid w:val="00A11179"/>
    <w:rsid w:val="00A11626"/>
    <w:rsid w:val="00A12388"/>
    <w:rsid w:val="00A12627"/>
    <w:rsid w:val="00A145AF"/>
    <w:rsid w:val="00A15D84"/>
    <w:rsid w:val="00A224A4"/>
    <w:rsid w:val="00A22B98"/>
    <w:rsid w:val="00A25A03"/>
    <w:rsid w:val="00A31D20"/>
    <w:rsid w:val="00A3357E"/>
    <w:rsid w:val="00A3469A"/>
    <w:rsid w:val="00A373C6"/>
    <w:rsid w:val="00A40693"/>
    <w:rsid w:val="00A41067"/>
    <w:rsid w:val="00A422CD"/>
    <w:rsid w:val="00A43503"/>
    <w:rsid w:val="00A4391C"/>
    <w:rsid w:val="00A43F61"/>
    <w:rsid w:val="00A45229"/>
    <w:rsid w:val="00A45887"/>
    <w:rsid w:val="00A47194"/>
    <w:rsid w:val="00A62A0B"/>
    <w:rsid w:val="00A642EE"/>
    <w:rsid w:val="00A647ED"/>
    <w:rsid w:val="00A653D2"/>
    <w:rsid w:val="00A65917"/>
    <w:rsid w:val="00A67A27"/>
    <w:rsid w:val="00A72141"/>
    <w:rsid w:val="00A81785"/>
    <w:rsid w:val="00A821E5"/>
    <w:rsid w:val="00A82CC6"/>
    <w:rsid w:val="00A86B9C"/>
    <w:rsid w:val="00A909CA"/>
    <w:rsid w:val="00A915AF"/>
    <w:rsid w:val="00A930EC"/>
    <w:rsid w:val="00A93C5B"/>
    <w:rsid w:val="00A94885"/>
    <w:rsid w:val="00A975CC"/>
    <w:rsid w:val="00A977FA"/>
    <w:rsid w:val="00AA0467"/>
    <w:rsid w:val="00AA19B7"/>
    <w:rsid w:val="00AA2126"/>
    <w:rsid w:val="00AA2C45"/>
    <w:rsid w:val="00AA2DBD"/>
    <w:rsid w:val="00AA3AFE"/>
    <w:rsid w:val="00AA59D2"/>
    <w:rsid w:val="00AC177A"/>
    <w:rsid w:val="00AC17FA"/>
    <w:rsid w:val="00AC1D86"/>
    <w:rsid w:val="00AC2BA8"/>
    <w:rsid w:val="00AC6453"/>
    <w:rsid w:val="00AC6DDB"/>
    <w:rsid w:val="00AD2646"/>
    <w:rsid w:val="00AD2928"/>
    <w:rsid w:val="00AD2E3B"/>
    <w:rsid w:val="00AD3E8C"/>
    <w:rsid w:val="00AD6031"/>
    <w:rsid w:val="00AE1F6B"/>
    <w:rsid w:val="00AE5052"/>
    <w:rsid w:val="00AE5794"/>
    <w:rsid w:val="00AE5928"/>
    <w:rsid w:val="00AE60DC"/>
    <w:rsid w:val="00AE7158"/>
    <w:rsid w:val="00AE7C9A"/>
    <w:rsid w:val="00AF186F"/>
    <w:rsid w:val="00AF493B"/>
    <w:rsid w:val="00AF6F27"/>
    <w:rsid w:val="00AF6FF1"/>
    <w:rsid w:val="00B02E61"/>
    <w:rsid w:val="00B02FAE"/>
    <w:rsid w:val="00B0327D"/>
    <w:rsid w:val="00B0331B"/>
    <w:rsid w:val="00B03520"/>
    <w:rsid w:val="00B03B71"/>
    <w:rsid w:val="00B11BFA"/>
    <w:rsid w:val="00B170BB"/>
    <w:rsid w:val="00B17C79"/>
    <w:rsid w:val="00B20B0F"/>
    <w:rsid w:val="00B2118E"/>
    <w:rsid w:val="00B22782"/>
    <w:rsid w:val="00B25684"/>
    <w:rsid w:val="00B30404"/>
    <w:rsid w:val="00B31244"/>
    <w:rsid w:val="00B31931"/>
    <w:rsid w:val="00B33C0C"/>
    <w:rsid w:val="00B3796B"/>
    <w:rsid w:val="00B414DB"/>
    <w:rsid w:val="00B4291F"/>
    <w:rsid w:val="00B44102"/>
    <w:rsid w:val="00B46926"/>
    <w:rsid w:val="00B503DC"/>
    <w:rsid w:val="00B50D5D"/>
    <w:rsid w:val="00B50F01"/>
    <w:rsid w:val="00B524F0"/>
    <w:rsid w:val="00B53953"/>
    <w:rsid w:val="00B558CD"/>
    <w:rsid w:val="00B55B2F"/>
    <w:rsid w:val="00B55DE3"/>
    <w:rsid w:val="00B620A4"/>
    <w:rsid w:val="00B665E5"/>
    <w:rsid w:val="00B66732"/>
    <w:rsid w:val="00B66BAE"/>
    <w:rsid w:val="00B67B63"/>
    <w:rsid w:val="00B7041F"/>
    <w:rsid w:val="00B71618"/>
    <w:rsid w:val="00B71C7C"/>
    <w:rsid w:val="00B74694"/>
    <w:rsid w:val="00B77254"/>
    <w:rsid w:val="00B772D4"/>
    <w:rsid w:val="00B826DD"/>
    <w:rsid w:val="00B9163A"/>
    <w:rsid w:val="00B94D54"/>
    <w:rsid w:val="00B96108"/>
    <w:rsid w:val="00B968DA"/>
    <w:rsid w:val="00B976EE"/>
    <w:rsid w:val="00B97788"/>
    <w:rsid w:val="00BA03C2"/>
    <w:rsid w:val="00BA0DC0"/>
    <w:rsid w:val="00BA10E3"/>
    <w:rsid w:val="00BA2CC4"/>
    <w:rsid w:val="00BA3CB2"/>
    <w:rsid w:val="00BA5031"/>
    <w:rsid w:val="00BA576B"/>
    <w:rsid w:val="00BB001C"/>
    <w:rsid w:val="00BB1B4D"/>
    <w:rsid w:val="00BB23F4"/>
    <w:rsid w:val="00BB35C0"/>
    <w:rsid w:val="00BB476A"/>
    <w:rsid w:val="00BB5CE8"/>
    <w:rsid w:val="00BB62AA"/>
    <w:rsid w:val="00BB69A8"/>
    <w:rsid w:val="00BB7411"/>
    <w:rsid w:val="00BB7D19"/>
    <w:rsid w:val="00BC1690"/>
    <w:rsid w:val="00BC4C43"/>
    <w:rsid w:val="00BC59F3"/>
    <w:rsid w:val="00BD01DC"/>
    <w:rsid w:val="00BD126F"/>
    <w:rsid w:val="00BD1EB4"/>
    <w:rsid w:val="00BD4684"/>
    <w:rsid w:val="00BD530F"/>
    <w:rsid w:val="00BD5C44"/>
    <w:rsid w:val="00BD7403"/>
    <w:rsid w:val="00BE00B4"/>
    <w:rsid w:val="00BE477F"/>
    <w:rsid w:val="00BE6496"/>
    <w:rsid w:val="00BE71AB"/>
    <w:rsid w:val="00BE7298"/>
    <w:rsid w:val="00BF4334"/>
    <w:rsid w:val="00BF76FE"/>
    <w:rsid w:val="00C017E3"/>
    <w:rsid w:val="00C02937"/>
    <w:rsid w:val="00C02DF3"/>
    <w:rsid w:val="00C03FBD"/>
    <w:rsid w:val="00C10BE1"/>
    <w:rsid w:val="00C126EB"/>
    <w:rsid w:val="00C146FB"/>
    <w:rsid w:val="00C15D6F"/>
    <w:rsid w:val="00C15EFF"/>
    <w:rsid w:val="00C2013B"/>
    <w:rsid w:val="00C219C7"/>
    <w:rsid w:val="00C24B54"/>
    <w:rsid w:val="00C259A2"/>
    <w:rsid w:val="00C26C2F"/>
    <w:rsid w:val="00C26D10"/>
    <w:rsid w:val="00C32352"/>
    <w:rsid w:val="00C33647"/>
    <w:rsid w:val="00C36150"/>
    <w:rsid w:val="00C37580"/>
    <w:rsid w:val="00C40841"/>
    <w:rsid w:val="00C4493C"/>
    <w:rsid w:val="00C44A77"/>
    <w:rsid w:val="00C47080"/>
    <w:rsid w:val="00C518D7"/>
    <w:rsid w:val="00C52836"/>
    <w:rsid w:val="00C53B85"/>
    <w:rsid w:val="00C57205"/>
    <w:rsid w:val="00C6162E"/>
    <w:rsid w:val="00C6187C"/>
    <w:rsid w:val="00C62B71"/>
    <w:rsid w:val="00C62EA3"/>
    <w:rsid w:val="00C71F85"/>
    <w:rsid w:val="00C72A16"/>
    <w:rsid w:val="00C72B3A"/>
    <w:rsid w:val="00C76305"/>
    <w:rsid w:val="00C83CC9"/>
    <w:rsid w:val="00C85043"/>
    <w:rsid w:val="00C85590"/>
    <w:rsid w:val="00C85E67"/>
    <w:rsid w:val="00C95375"/>
    <w:rsid w:val="00CB1EE3"/>
    <w:rsid w:val="00CB5811"/>
    <w:rsid w:val="00CC24DD"/>
    <w:rsid w:val="00CC2E33"/>
    <w:rsid w:val="00CC2F28"/>
    <w:rsid w:val="00CC34A3"/>
    <w:rsid w:val="00CD120F"/>
    <w:rsid w:val="00CD15BB"/>
    <w:rsid w:val="00CD717E"/>
    <w:rsid w:val="00CE2600"/>
    <w:rsid w:val="00CF0ED3"/>
    <w:rsid w:val="00CF2FBA"/>
    <w:rsid w:val="00CF5F56"/>
    <w:rsid w:val="00CF6B3F"/>
    <w:rsid w:val="00CF7D0F"/>
    <w:rsid w:val="00D00307"/>
    <w:rsid w:val="00D0045F"/>
    <w:rsid w:val="00D01359"/>
    <w:rsid w:val="00D035F4"/>
    <w:rsid w:val="00D05E04"/>
    <w:rsid w:val="00D13FC1"/>
    <w:rsid w:val="00D15EC8"/>
    <w:rsid w:val="00D16013"/>
    <w:rsid w:val="00D171C1"/>
    <w:rsid w:val="00D17D99"/>
    <w:rsid w:val="00D208C0"/>
    <w:rsid w:val="00D3233E"/>
    <w:rsid w:val="00D34CCC"/>
    <w:rsid w:val="00D356F0"/>
    <w:rsid w:val="00D36A22"/>
    <w:rsid w:val="00D41B83"/>
    <w:rsid w:val="00D420A3"/>
    <w:rsid w:val="00D44910"/>
    <w:rsid w:val="00D47176"/>
    <w:rsid w:val="00D51252"/>
    <w:rsid w:val="00D514CE"/>
    <w:rsid w:val="00D51805"/>
    <w:rsid w:val="00D53835"/>
    <w:rsid w:val="00D552DD"/>
    <w:rsid w:val="00D55ED4"/>
    <w:rsid w:val="00D55F56"/>
    <w:rsid w:val="00D56964"/>
    <w:rsid w:val="00D57DCB"/>
    <w:rsid w:val="00D6069A"/>
    <w:rsid w:val="00D606B9"/>
    <w:rsid w:val="00D60FF7"/>
    <w:rsid w:val="00D63B9D"/>
    <w:rsid w:val="00D63E2C"/>
    <w:rsid w:val="00D64C73"/>
    <w:rsid w:val="00D674DB"/>
    <w:rsid w:val="00D67A35"/>
    <w:rsid w:val="00D67BCF"/>
    <w:rsid w:val="00D70A54"/>
    <w:rsid w:val="00D75ACA"/>
    <w:rsid w:val="00D7637F"/>
    <w:rsid w:val="00D765E3"/>
    <w:rsid w:val="00D77E74"/>
    <w:rsid w:val="00D80906"/>
    <w:rsid w:val="00D80A9E"/>
    <w:rsid w:val="00D81838"/>
    <w:rsid w:val="00D84EED"/>
    <w:rsid w:val="00D85F45"/>
    <w:rsid w:val="00D8735A"/>
    <w:rsid w:val="00D87450"/>
    <w:rsid w:val="00D9174B"/>
    <w:rsid w:val="00D93813"/>
    <w:rsid w:val="00D94D81"/>
    <w:rsid w:val="00D9689F"/>
    <w:rsid w:val="00DA10CC"/>
    <w:rsid w:val="00DA41C9"/>
    <w:rsid w:val="00DA48B1"/>
    <w:rsid w:val="00DB029A"/>
    <w:rsid w:val="00DB0AD6"/>
    <w:rsid w:val="00DB40E4"/>
    <w:rsid w:val="00DB430D"/>
    <w:rsid w:val="00DB71E4"/>
    <w:rsid w:val="00DB7F1B"/>
    <w:rsid w:val="00DC3349"/>
    <w:rsid w:val="00DC65AF"/>
    <w:rsid w:val="00DC6C94"/>
    <w:rsid w:val="00DD241D"/>
    <w:rsid w:val="00DD3070"/>
    <w:rsid w:val="00DD4AC3"/>
    <w:rsid w:val="00DD77BD"/>
    <w:rsid w:val="00DD7808"/>
    <w:rsid w:val="00DE310E"/>
    <w:rsid w:val="00DE3A99"/>
    <w:rsid w:val="00DE4F55"/>
    <w:rsid w:val="00DE5836"/>
    <w:rsid w:val="00DE5DBE"/>
    <w:rsid w:val="00DE7485"/>
    <w:rsid w:val="00DF37F4"/>
    <w:rsid w:val="00DF56F2"/>
    <w:rsid w:val="00DF7376"/>
    <w:rsid w:val="00DF7D0D"/>
    <w:rsid w:val="00E0082F"/>
    <w:rsid w:val="00E01B62"/>
    <w:rsid w:val="00E11B8B"/>
    <w:rsid w:val="00E13C03"/>
    <w:rsid w:val="00E1418C"/>
    <w:rsid w:val="00E14B5A"/>
    <w:rsid w:val="00E164C8"/>
    <w:rsid w:val="00E171FE"/>
    <w:rsid w:val="00E21E1D"/>
    <w:rsid w:val="00E2371E"/>
    <w:rsid w:val="00E24F7B"/>
    <w:rsid w:val="00E2632C"/>
    <w:rsid w:val="00E30143"/>
    <w:rsid w:val="00E31A95"/>
    <w:rsid w:val="00E32CE3"/>
    <w:rsid w:val="00E34258"/>
    <w:rsid w:val="00E3664A"/>
    <w:rsid w:val="00E410BE"/>
    <w:rsid w:val="00E417C9"/>
    <w:rsid w:val="00E41D1C"/>
    <w:rsid w:val="00E4320F"/>
    <w:rsid w:val="00E43680"/>
    <w:rsid w:val="00E43A9F"/>
    <w:rsid w:val="00E50D72"/>
    <w:rsid w:val="00E512D1"/>
    <w:rsid w:val="00E52808"/>
    <w:rsid w:val="00E53BA5"/>
    <w:rsid w:val="00E54238"/>
    <w:rsid w:val="00E551D8"/>
    <w:rsid w:val="00E57970"/>
    <w:rsid w:val="00E6021A"/>
    <w:rsid w:val="00E63689"/>
    <w:rsid w:val="00E636D7"/>
    <w:rsid w:val="00E63984"/>
    <w:rsid w:val="00E63D65"/>
    <w:rsid w:val="00E6411A"/>
    <w:rsid w:val="00E64CD7"/>
    <w:rsid w:val="00E65AB8"/>
    <w:rsid w:val="00E661CA"/>
    <w:rsid w:val="00E67B55"/>
    <w:rsid w:val="00E701BE"/>
    <w:rsid w:val="00E74AD9"/>
    <w:rsid w:val="00E778D8"/>
    <w:rsid w:val="00E8332F"/>
    <w:rsid w:val="00E8345F"/>
    <w:rsid w:val="00E834A5"/>
    <w:rsid w:val="00E845A2"/>
    <w:rsid w:val="00E8589D"/>
    <w:rsid w:val="00E86BD7"/>
    <w:rsid w:val="00E86E6A"/>
    <w:rsid w:val="00E876CD"/>
    <w:rsid w:val="00E90A97"/>
    <w:rsid w:val="00E920FA"/>
    <w:rsid w:val="00E9526C"/>
    <w:rsid w:val="00E96AF4"/>
    <w:rsid w:val="00E97B58"/>
    <w:rsid w:val="00EA112B"/>
    <w:rsid w:val="00EA209C"/>
    <w:rsid w:val="00EA28B2"/>
    <w:rsid w:val="00EA3D6B"/>
    <w:rsid w:val="00EA5C81"/>
    <w:rsid w:val="00EA695F"/>
    <w:rsid w:val="00EA6CE1"/>
    <w:rsid w:val="00EA7D31"/>
    <w:rsid w:val="00EB0BD6"/>
    <w:rsid w:val="00EB43A9"/>
    <w:rsid w:val="00EB4513"/>
    <w:rsid w:val="00EC0BA5"/>
    <w:rsid w:val="00EC1F16"/>
    <w:rsid w:val="00EC3F5C"/>
    <w:rsid w:val="00EC41C4"/>
    <w:rsid w:val="00EC51A2"/>
    <w:rsid w:val="00EC77F8"/>
    <w:rsid w:val="00EC7CD5"/>
    <w:rsid w:val="00ED1245"/>
    <w:rsid w:val="00EE0090"/>
    <w:rsid w:val="00EE1C50"/>
    <w:rsid w:val="00EE2E47"/>
    <w:rsid w:val="00EE3896"/>
    <w:rsid w:val="00EE530C"/>
    <w:rsid w:val="00EE6105"/>
    <w:rsid w:val="00EF7BDE"/>
    <w:rsid w:val="00F000CC"/>
    <w:rsid w:val="00F018A9"/>
    <w:rsid w:val="00F0229E"/>
    <w:rsid w:val="00F04956"/>
    <w:rsid w:val="00F05114"/>
    <w:rsid w:val="00F053BA"/>
    <w:rsid w:val="00F05CDD"/>
    <w:rsid w:val="00F0655A"/>
    <w:rsid w:val="00F070A0"/>
    <w:rsid w:val="00F0745E"/>
    <w:rsid w:val="00F07A50"/>
    <w:rsid w:val="00F11BA0"/>
    <w:rsid w:val="00F1235B"/>
    <w:rsid w:val="00F1270A"/>
    <w:rsid w:val="00F14A08"/>
    <w:rsid w:val="00F152AB"/>
    <w:rsid w:val="00F166B0"/>
    <w:rsid w:val="00F20BA4"/>
    <w:rsid w:val="00F20C47"/>
    <w:rsid w:val="00F2222F"/>
    <w:rsid w:val="00F22DE6"/>
    <w:rsid w:val="00F232BA"/>
    <w:rsid w:val="00F2620E"/>
    <w:rsid w:val="00F26DCC"/>
    <w:rsid w:val="00F27836"/>
    <w:rsid w:val="00F32D28"/>
    <w:rsid w:val="00F335D9"/>
    <w:rsid w:val="00F33856"/>
    <w:rsid w:val="00F3408C"/>
    <w:rsid w:val="00F3643C"/>
    <w:rsid w:val="00F41A2D"/>
    <w:rsid w:val="00F428BE"/>
    <w:rsid w:val="00F4467A"/>
    <w:rsid w:val="00F449E9"/>
    <w:rsid w:val="00F47F1C"/>
    <w:rsid w:val="00F503CA"/>
    <w:rsid w:val="00F50AF6"/>
    <w:rsid w:val="00F55B71"/>
    <w:rsid w:val="00F56DB8"/>
    <w:rsid w:val="00F627A5"/>
    <w:rsid w:val="00F64FBB"/>
    <w:rsid w:val="00F664CC"/>
    <w:rsid w:val="00F66D7C"/>
    <w:rsid w:val="00F70D1C"/>
    <w:rsid w:val="00F71F41"/>
    <w:rsid w:val="00F73B05"/>
    <w:rsid w:val="00F75DD5"/>
    <w:rsid w:val="00F764FA"/>
    <w:rsid w:val="00F77296"/>
    <w:rsid w:val="00F776F9"/>
    <w:rsid w:val="00F80A47"/>
    <w:rsid w:val="00F81F87"/>
    <w:rsid w:val="00F8238B"/>
    <w:rsid w:val="00F82555"/>
    <w:rsid w:val="00F833ED"/>
    <w:rsid w:val="00F856EC"/>
    <w:rsid w:val="00F864E8"/>
    <w:rsid w:val="00F91783"/>
    <w:rsid w:val="00F92394"/>
    <w:rsid w:val="00F92F0B"/>
    <w:rsid w:val="00F9368D"/>
    <w:rsid w:val="00F95622"/>
    <w:rsid w:val="00F95B0D"/>
    <w:rsid w:val="00F95FF6"/>
    <w:rsid w:val="00F97413"/>
    <w:rsid w:val="00FA3721"/>
    <w:rsid w:val="00FA6E7C"/>
    <w:rsid w:val="00FA7C0A"/>
    <w:rsid w:val="00FB3A3B"/>
    <w:rsid w:val="00FB5AC1"/>
    <w:rsid w:val="00FB5DB8"/>
    <w:rsid w:val="00FB7509"/>
    <w:rsid w:val="00FB76CA"/>
    <w:rsid w:val="00FC10EC"/>
    <w:rsid w:val="00FC7288"/>
    <w:rsid w:val="00FC78D9"/>
    <w:rsid w:val="00FD3805"/>
    <w:rsid w:val="00FD3AF5"/>
    <w:rsid w:val="00FD6446"/>
    <w:rsid w:val="00FE5491"/>
    <w:rsid w:val="00FE6536"/>
    <w:rsid w:val="00FF0A56"/>
    <w:rsid w:val="00FF18A8"/>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6832F9"/>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6832F9"/>
    <w:pPr>
      <w:keepNext/>
      <w:pageBreakBefore/>
      <w:numPr>
        <w:numId w:val="21"/>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6832F9"/>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6832F9"/>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6832F9"/>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6832F9"/>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6832F9"/>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6832F9"/>
    <w:pPr>
      <w:numPr>
        <w:ilvl w:val="4"/>
      </w:numPr>
      <w:tabs>
        <w:tab w:val="left" w:pos="2835"/>
      </w:tabs>
      <w:outlineLvl w:val="6"/>
    </w:pPr>
    <w:rPr>
      <w:iCs/>
    </w:rPr>
  </w:style>
  <w:style w:type="paragraph" w:styleId="Heading8">
    <w:name w:val="heading 8"/>
    <w:basedOn w:val="Heading7"/>
    <w:next w:val="BodyText"/>
    <w:link w:val="Heading8Char"/>
    <w:uiPriority w:val="12"/>
    <w:qFormat/>
    <w:rsid w:val="006832F9"/>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6832F9"/>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6832F9"/>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6832F9"/>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6832F9"/>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6832F9"/>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6832F9"/>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6832F9"/>
    <w:rPr>
      <w:rFonts w:ascii="Arial" w:hAnsi="Arial"/>
      <w:sz w:val="20"/>
    </w:rPr>
  </w:style>
  <w:style w:type="paragraph" w:styleId="TOC1">
    <w:name w:val="toc 1"/>
    <w:basedOn w:val="Normal"/>
    <w:next w:val="BodyText"/>
    <w:uiPriority w:val="39"/>
    <w:qFormat/>
    <w:rsid w:val="006832F9"/>
    <w:pPr>
      <w:keepLines/>
      <w:tabs>
        <w:tab w:val="right" w:pos="7209"/>
      </w:tabs>
      <w:spacing w:after="80"/>
      <w:ind w:left="454" w:right="1245" w:hanging="454"/>
    </w:pPr>
    <w:rPr>
      <w:noProof/>
      <w:sz w:val="22"/>
    </w:rPr>
  </w:style>
  <w:style w:type="paragraph" w:styleId="TOC2">
    <w:name w:val="toc 2"/>
    <w:basedOn w:val="TOC1"/>
    <w:next w:val="BodyText"/>
    <w:uiPriority w:val="39"/>
    <w:qFormat/>
    <w:rsid w:val="006832F9"/>
    <w:pPr>
      <w:spacing w:before="80"/>
      <w:ind w:left="1134" w:hanging="680"/>
    </w:pPr>
  </w:style>
  <w:style w:type="paragraph" w:styleId="TOC3">
    <w:name w:val="toc 3"/>
    <w:basedOn w:val="TOC2"/>
    <w:next w:val="BodyText"/>
    <w:uiPriority w:val="39"/>
    <w:qFormat/>
    <w:rsid w:val="006832F9"/>
    <w:pPr>
      <w:ind w:left="1985" w:hanging="851"/>
    </w:pPr>
  </w:style>
  <w:style w:type="paragraph" w:styleId="TOC4">
    <w:name w:val="toc 4"/>
    <w:basedOn w:val="TOC1"/>
    <w:next w:val="BodyText"/>
    <w:uiPriority w:val="99"/>
    <w:rsid w:val="006832F9"/>
    <w:pPr>
      <w:spacing w:before="80"/>
      <w:ind w:left="0" w:firstLine="0"/>
    </w:pPr>
  </w:style>
  <w:style w:type="paragraph" w:styleId="TOC5">
    <w:name w:val="toc 5"/>
    <w:basedOn w:val="TOC2"/>
    <w:next w:val="BodyText"/>
    <w:uiPriority w:val="99"/>
    <w:rsid w:val="006832F9"/>
  </w:style>
  <w:style w:type="paragraph" w:styleId="TOC6">
    <w:name w:val="toc 6"/>
    <w:basedOn w:val="TOC3"/>
    <w:next w:val="BodyText"/>
    <w:uiPriority w:val="99"/>
    <w:rsid w:val="006832F9"/>
  </w:style>
  <w:style w:type="character" w:customStyle="1" w:styleId="Heading4Char">
    <w:name w:val="Heading 4 Char"/>
    <w:basedOn w:val="DefaultParagraphFont"/>
    <w:link w:val="Heading4"/>
    <w:uiPriority w:val="9"/>
    <w:rsid w:val="006832F9"/>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6832F9"/>
    <w:pPr>
      <w:ind w:left="1418" w:hanging="1418"/>
    </w:pPr>
  </w:style>
  <w:style w:type="character" w:customStyle="1" w:styleId="Heading5Char">
    <w:name w:val="Heading 5 Char"/>
    <w:aliases w:val="(Main Heading) Char"/>
    <w:basedOn w:val="DefaultParagraphFont"/>
    <w:link w:val="Heading5"/>
    <w:uiPriority w:val="10"/>
    <w:rsid w:val="006832F9"/>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6832F9"/>
    <w:pPr>
      <w:spacing w:before="80"/>
      <w:ind w:left="1134" w:hanging="680"/>
    </w:pPr>
  </w:style>
  <w:style w:type="character" w:customStyle="1" w:styleId="Heading6Char">
    <w:name w:val="Heading 6 Char"/>
    <w:aliases w:val="(Subheading) Char"/>
    <w:basedOn w:val="DefaultParagraphFont"/>
    <w:link w:val="Heading6"/>
    <w:uiPriority w:val="11"/>
    <w:rsid w:val="006832F9"/>
    <w:rPr>
      <w:rFonts w:ascii="Arial" w:eastAsiaTheme="majorEastAsia" w:hAnsi="Arial" w:cstheme="minorHAnsi"/>
      <w:b/>
      <w:color w:val="796E65" w:themeColor="accent4"/>
      <w:sz w:val="20"/>
    </w:rPr>
  </w:style>
  <w:style w:type="paragraph" w:styleId="TOC9">
    <w:name w:val="toc 9"/>
    <w:basedOn w:val="TOC8"/>
    <w:next w:val="BodyText"/>
    <w:uiPriority w:val="39"/>
    <w:rsid w:val="006832F9"/>
    <w:pPr>
      <w:ind w:left="1985" w:hanging="851"/>
    </w:pPr>
  </w:style>
  <w:style w:type="paragraph" w:styleId="TOCHeading">
    <w:name w:val="TOC Heading"/>
    <w:basedOn w:val="Heading1"/>
    <w:next w:val="BodyText"/>
    <w:uiPriority w:val="99"/>
    <w:qFormat/>
    <w:rsid w:val="006832F9"/>
    <w:pPr>
      <w:numPr>
        <w:numId w:val="0"/>
      </w:numPr>
      <w:outlineLvl w:val="9"/>
    </w:pPr>
  </w:style>
  <w:style w:type="paragraph" w:customStyle="1" w:styleId="BodyIndent2">
    <w:name w:val="Body Indent 2"/>
    <w:basedOn w:val="BodyBullet2"/>
    <w:uiPriority w:val="99"/>
    <w:rsid w:val="006832F9"/>
    <w:pPr>
      <w:numPr>
        <w:ilvl w:val="0"/>
        <w:numId w:val="0"/>
      </w:numPr>
      <w:ind w:left="680"/>
    </w:pPr>
  </w:style>
  <w:style w:type="paragraph" w:customStyle="1" w:styleId="BodyIndent3">
    <w:name w:val="Body Indent 3"/>
    <w:basedOn w:val="BodyBullet3"/>
    <w:uiPriority w:val="99"/>
    <w:rsid w:val="006832F9"/>
    <w:pPr>
      <w:numPr>
        <w:ilvl w:val="0"/>
        <w:numId w:val="0"/>
      </w:numPr>
      <w:ind w:left="1021"/>
    </w:pPr>
  </w:style>
  <w:style w:type="character" w:styleId="EndnoteReference">
    <w:name w:val="endnote reference"/>
    <w:basedOn w:val="DefaultParagraphFont"/>
    <w:uiPriority w:val="99"/>
    <w:rsid w:val="006832F9"/>
    <w:rPr>
      <w:vertAlign w:val="superscript"/>
    </w:rPr>
  </w:style>
  <w:style w:type="paragraph" w:styleId="ListBullet">
    <w:name w:val="List Bullet"/>
    <w:basedOn w:val="BodyText"/>
    <w:uiPriority w:val="99"/>
    <w:semiHidden/>
    <w:rsid w:val="006832F9"/>
    <w:pPr>
      <w:numPr>
        <w:numId w:val="24"/>
      </w:numPr>
      <w:spacing w:before="120" w:after="120"/>
      <w:contextualSpacing/>
    </w:pPr>
  </w:style>
  <w:style w:type="table" w:styleId="TableGrid">
    <w:name w:val="Table Grid"/>
    <w:basedOn w:val="TableNormal"/>
    <w:uiPriority w:val="59"/>
    <w:rsid w:val="0068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6832F9"/>
    <w:pPr>
      <w:spacing w:after="360" w:line="240" w:lineRule="auto"/>
    </w:pPr>
    <w:rPr>
      <w:color w:val="A59C94" w:themeColor="accent3"/>
      <w:sz w:val="18"/>
      <w:szCs w:val="18"/>
    </w:rPr>
  </w:style>
  <w:style w:type="paragraph" w:styleId="ListBullet2">
    <w:name w:val="List Bullet 2"/>
    <w:basedOn w:val="ListBullet"/>
    <w:uiPriority w:val="99"/>
    <w:semiHidden/>
    <w:rsid w:val="006832F9"/>
    <w:pPr>
      <w:numPr>
        <w:ilvl w:val="1"/>
      </w:numPr>
    </w:pPr>
  </w:style>
  <w:style w:type="paragraph" w:customStyle="1" w:styleId="TableText">
    <w:name w:val="Table Text"/>
    <w:uiPriority w:val="2"/>
    <w:qFormat/>
    <w:rsid w:val="006832F9"/>
    <w:pPr>
      <w:numPr>
        <w:numId w:val="32"/>
      </w:numPr>
      <w:spacing w:before="80" w:after="80" w:line="240" w:lineRule="auto"/>
    </w:pPr>
    <w:rPr>
      <w:rFonts w:ascii="Arial" w:hAnsi="Arial"/>
      <w:sz w:val="18"/>
      <w:szCs w:val="20"/>
    </w:rPr>
  </w:style>
  <w:style w:type="paragraph" w:styleId="EndnoteText">
    <w:name w:val="endnote text"/>
    <w:basedOn w:val="Normal"/>
    <w:link w:val="EndnoteTextChar"/>
    <w:uiPriority w:val="99"/>
    <w:rsid w:val="006832F9"/>
    <w:pPr>
      <w:keepLines/>
      <w:spacing w:line="240" w:lineRule="auto"/>
      <w:ind w:left="340" w:hanging="340"/>
    </w:pPr>
    <w:rPr>
      <w:sz w:val="18"/>
      <w:szCs w:val="18"/>
    </w:rPr>
  </w:style>
  <w:style w:type="paragraph" w:styleId="ListBullet3">
    <w:name w:val="List Bullet 3"/>
    <w:basedOn w:val="ListBullet2"/>
    <w:uiPriority w:val="99"/>
    <w:semiHidden/>
    <w:rsid w:val="006832F9"/>
    <w:pPr>
      <w:numPr>
        <w:ilvl w:val="2"/>
      </w:numPr>
    </w:pPr>
  </w:style>
  <w:style w:type="character" w:customStyle="1" w:styleId="EndnoteTextChar">
    <w:name w:val="Endnote Text Char"/>
    <w:basedOn w:val="DefaultParagraphFont"/>
    <w:link w:val="EndnoteText"/>
    <w:uiPriority w:val="99"/>
    <w:rsid w:val="006832F9"/>
    <w:rPr>
      <w:rFonts w:ascii="Arial" w:hAnsi="Arial"/>
      <w:sz w:val="18"/>
      <w:szCs w:val="18"/>
    </w:rPr>
  </w:style>
  <w:style w:type="paragraph" w:styleId="Footer">
    <w:name w:val="footer"/>
    <w:basedOn w:val="BodyText"/>
    <w:link w:val="FooterChar"/>
    <w:uiPriority w:val="99"/>
    <w:rsid w:val="006832F9"/>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6832F9"/>
    <w:rPr>
      <w:rFonts w:ascii="Arial" w:hAnsi="Arial" w:cstheme="minorHAnsi"/>
      <w:noProof/>
      <w:color w:val="000000" w:themeColor="text1"/>
      <w:sz w:val="16"/>
      <w:szCs w:val="18"/>
    </w:rPr>
  </w:style>
  <w:style w:type="character" w:styleId="FootnoteReference">
    <w:name w:val="footnote reference"/>
    <w:basedOn w:val="DefaultParagraphFont"/>
    <w:uiPriority w:val="99"/>
    <w:rsid w:val="006832F9"/>
    <w:rPr>
      <w:vertAlign w:val="superscript"/>
    </w:rPr>
  </w:style>
  <w:style w:type="paragraph" w:styleId="FootnoteText">
    <w:name w:val="footnote text"/>
    <w:basedOn w:val="Normal"/>
    <w:link w:val="FootnoteTextChar"/>
    <w:uiPriority w:val="99"/>
    <w:rsid w:val="006832F9"/>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6832F9"/>
    <w:rPr>
      <w:rFonts w:ascii="Arial" w:hAnsi="Arial"/>
      <w:sz w:val="18"/>
      <w:szCs w:val="18"/>
    </w:rPr>
  </w:style>
  <w:style w:type="paragraph" w:styleId="Header">
    <w:name w:val="header"/>
    <w:basedOn w:val="BodyText"/>
    <w:link w:val="HeaderChar"/>
    <w:uiPriority w:val="99"/>
    <w:rsid w:val="006832F9"/>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6832F9"/>
    <w:rPr>
      <w:rFonts w:ascii="Arial" w:hAnsi="Arial"/>
      <w:color w:val="00BAD4" w:themeColor="text2"/>
      <w:sz w:val="16"/>
      <w:szCs w:val="18"/>
    </w:rPr>
  </w:style>
  <w:style w:type="character" w:styleId="Hyperlink">
    <w:name w:val="Hyperlink"/>
    <w:basedOn w:val="DefaultParagraphFont"/>
    <w:uiPriority w:val="99"/>
    <w:rsid w:val="006832F9"/>
    <w:rPr>
      <w:color w:val="005C6A" w:themeColor="text2" w:themeShade="80"/>
      <w:u w:val="single"/>
    </w:rPr>
  </w:style>
  <w:style w:type="paragraph" w:styleId="ListNumber">
    <w:name w:val="List Number"/>
    <w:basedOn w:val="BodyText"/>
    <w:uiPriority w:val="99"/>
    <w:semiHidden/>
    <w:rsid w:val="006832F9"/>
    <w:pPr>
      <w:numPr>
        <w:numId w:val="25"/>
      </w:numPr>
      <w:contextualSpacing/>
    </w:pPr>
  </w:style>
  <w:style w:type="paragraph" w:styleId="ListNumber2">
    <w:name w:val="List Number 2"/>
    <w:basedOn w:val="ListNumber"/>
    <w:uiPriority w:val="99"/>
    <w:semiHidden/>
    <w:rsid w:val="006832F9"/>
    <w:pPr>
      <w:numPr>
        <w:numId w:val="26"/>
      </w:numPr>
    </w:pPr>
  </w:style>
  <w:style w:type="paragraph" w:styleId="ListNumber3">
    <w:name w:val="List Number 3"/>
    <w:basedOn w:val="List2"/>
    <w:uiPriority w:val="99"/>
    <w:semiHidden/>
    <w:rsid w:val="006832F9"/>
    <w:pPr>
      <w:numPr>
        <w:numId w:val="27"/>
      </w:numPr>
    </w:pPr>
  </w:style>
  <w:style w:type="character" w:styleId="PageNumber">
    <w:name w:val="page number"/>
    <w:basedOn w:val="DefaultParagraphFont"/>
    <w:uiPriority w:val="99"/>
    <w:semiHidden/>
    <w:rsid w:val="006832F9"/>
  </w:style>
  <w:style w:type="paragraph" w:styleId="List2">
    <w:name w:val="List 2"/>
    <w:basedOn w:val="Normal"/>
    <w:uiPriority w:val="99"/>
    <w:semiHidden/>
    <w:rsid w:val="006832F9"/>
    <w:pPr>
      <w:ind w:left="566" w:hanging="283"/>
      <w:contextualSpacing/>
    </w:pPr>
  </w:style>
  <w:style w:type="paragraph" w:styleId="TableofFigures">
    <w:name w:val="table of figures"/>
    <w:basedOn w:val="TOC1"/>
    <w:next w:val="BodyText"/>
    <w:uiPriority w:val="99"/>
    <w:rsid w:val="006832F9"/>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6832F9"/>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6832F9"/>
    <w:pPr>
      <w:numPr>
        <w:numId w:val="35"/>
      </w:numPr>
    </w:pPr>
  </w:style>
  <w:style w:type="paragraph" w:customStyle="1" w:styleId="TableBullet2">
    <w:name w:val="Table Bullet 2"/>
    <w:basedOn w:val="TableBullet1"/>
    <w:uiPriority w:val="3"/>
    <w:qFormat/>
    <w:rsid w:val="006832F9"/>
    <w:pPr>
      <w:numPr>
        <w:ilvl w:val="1"/>
      </w:numPr>
    </w:pPr>
  </w:style>
  <w:style w:type="paragraph" w:customStyle="1" w:styleId="BodyNumbering1">
    <w:name w:val="Body Numbering 1"/>
    <w:basedOn w:val="BodyBullet1"/>
    <w:uiPriority w:val="7"/>
    <w:qFormat/>
    <w:rsid w:val="006832F9"/>
    <w:pPr>
      <w:numPr>
        <w:ilvl w:val="3"/>
      </w:numPr>
    </w:pPr>
  </w:style>
  <w:style w:type="paragraph" w:customStyle="1" w:styleId="BodyNumbering2">
    <w:name w:val="Body Numbering 2"/>
    <w:basedOn w:val="BodyNumbering1"/>
    <w:uiPriority w:val="7"/>
    <w:qFormat/>
    <w:rsid w:val="006832F9"/>
    <w:pPr>
      <w:numPr>
        <w:ilvl w:val="4"/>
      </w:numPr>
    </w:pPr>
  </w:style>
  <w:style w:type="paragraph" w:customStyle="1" w:styleId="BodyBullet1">
    <w:name w:val="Body Bullet 1"/>
    <w:basedOn w:val="BodyText"/>
    <w:uiPriority w:val="1"/>
    <w:qFormat/>
    <w:rsid w:val="006832F9"/>
    <w:pPr>
      <w:numPr>
        <w:numId w:val="14"/>
      </w:numPr>
    </w:pPr>
  </w:style>
  <w:style w:type="paragraph" w:customStyle="1" w:styleId="BodyBullet2">
    <w:name w:val="Body Bullet 2"/>
    <w:basedOn w:val="BodyBullet1"/>
    <w:uiPriority w:val="1"/>
    <w:qFormat/>
    <w:rsid w:val="006832F9"/>
    <w:pPr>
      <w:numPr>
        <w:ilvl w:val="1"/>
      </w:numPr>
    </w:pPr>
  </w:style>
  <w:style w:type="paragraph" w:customStyle="1" w:styleId="BodyBullet3">
    <w:name w:val="Body Bullet 3"/>
    <w:basedOn w:val="BodyBullet2"/>
    <w:uiPriority w:val="1"/>
    <w:qFormat/>
    <w:rsid w:val="006832F9"/>
    <w:pPr>
      <w:numPr>
        <w:ilvl w:val="2"/>
      </w:numPr>
    </w:pPr>
  </w:style>
  <w:style w:type="paragraph" w:customStyle="1" w:styleId="BodyNumbering3">
    <w:name w:val="Body Numbering 3"/>
    <w:basedOn w:val="BodyNumbering2"/>
    <w:uiPriority w:val="7"/>
    <w:qFormat/>
    <w:rsid w:val="006832F9"/>
    <w:pPr>
      <w:numPr>
        <w:ilvl w:val="5"/>
      </w:numPr>
    </w:pPr>
  </w:style>
  <w:style w:type="paragraph" w:customStyle="1" w:styleId="BodyIndent1">
    <w:name w:val="Body Indent 1"/>
    <w:basedOn w:val="BodyBullet1"/>
    <w:uiPriority w:val="99"/>
    <w:rsid w:val="006832F9"/>
    <w:pPr>
      <w:numPr>
        <w:numId w:val="0"/>
      </w:numPr>
      <w:ind w:left="340"/>
    </w:pPr>
  </w:style>
  <w:style w:type="paragraph" w:customStyle="1" w:styleId="TableBullet3">
    <w:name w:val="Table Bullet 3"/>
    <w:basedOn w:val="TableBullet2"/>
    <w:uiPriority w:val="3"/>
    <w:qFormat/>
    <w:rsid w:val="006832F9"/>
    <w:pPr>
      <w:numPr>
        <w:ilvl w:val="2"/>
      </w:numPr>
    </w:pPr>
  </w:style>
  <w:style w:type="paragraph" w:customStyle="1" w:styleId="TableNumbering1">
    <w:name w:val="Table Numbering 1"/>
    <w:basedOn w:val="TableBullet1"/>
    <w:uiPriority w:val="99"/>
    <w:rsid w:val="006832F9"/>
    <w:pPr>
      <w:numPr>
        <w:ilvl w:val="3"/>
      </w:numPr>
    </w:pPr>
  </w:style>
  <w:style w:type="paragraph" w:customStyle="1" w:styleId="TableNumbering2">
    <w:name w:val="Table Numbering 2"/>
    <w:basedOn w:val="TableNumbering1"/>
    <w:uiPriority w:val="99"/>
    <w:rsid w:val="006832F9"/>
    <w:pPr>
      <w:numPr>
        <w:ilvl w:val="4"/>
      </w:numPr>
    </w:pPr>
  </w:style>
  <w:style w:type="paragraph" w:customStyle="1" w:styleId="TableNumbering3">
    <w:name w:val="Table Numbering 3"/>
    <w:basedOn w:val="TableNumbering2"/>
    <w:uiPriority w:val="99"/>
    <w:rsid w:val="006832F9"/>
    <w:pPr>
      <w:numPr>
        <w:ilvl w:val="5"/>
      </w:numPr>
    </w:pPr>
  </w:style>
  <w:style w:type="paragraph" w:customStyle="1" w:styleId="TableIndent1">
    <w:name w:val="Table Indent 1"/>
    <w:basedOn w:val="TableBullet1"/>
    <w:uiPriority w:val="99"/>
    <w:rsid w:val="006832F9"/>
    <w:pPr>
      <w:numPr>
        <w:numId w:val="0"/>
      </w:numPr>
      <w:ind w:left="340"/>
    </w:pPr>
  </w:style>
  <w:style w:type="paragraph" w:customStyle="1" w:styleId="TableIndent2">
    <w:name w:val="Table Indent 2"/>
    <w:basedOn w:val="TableBullet2"/>
    <w:uiPriority w:val="99"/>
    <w:rsid w:val="006832F9"/>
    <w:pPr>
      <w:numPr>
        <w:ilvl w:val="0"/>
        <w:numId w:val="0"/>
      </w:numPr>
      <w:ind w:left="680"/>
    </w:pPr>
  </w:style>
  <w:style w:type="paragraph" w:customStyle="1" w:styleId="TableIndent3">
    <w:name w:val="Table Indent 3"/>
    <w:basedOn w:val="TableBullet3"/>
    <w:uiPriority w:val="99"/>
    <w:rsid w:val="006832F9"/>
    <w:pPr>
      <w:numPr>
        <w:ilvl w:val="0"/>
        <w:numId w:val="0"/>
      </w:numPr>
      <w:ind w:left="1021"/>
    </w:pPr>
  </w:style>
  <w:style w:type="table" w:customStyle="1" w:styleId="MainTableStyle">
    <w:name w:val="Main Table Style"/>
    <w:basedOn w:val="TableNormal"/>
    <w:uiPriority w:val="99"/>
    <w:rsid w:val="006832F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6832F9"/>
    <w:pPr>
      <w:spacing w:before="0" w:after="0" w:line="240" w:lineRule="auto"/>
    </w:pPr>
  </w:style>
  <w:style w:type="table" w:customStyle="1" w:styleId="RowMainTableStyle">
    <w:name w:val="Row Main Table Style"/>
    <w:basedOn w:val="TableNormal"/>
    <w:uiPriority w:val="99"/>
    <w:rsid w:val="006832F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6832F9"/>
    <w:rPr>
      <w:color w:val="00BAD4" w:themeColor="text2"/>
    </w:rPr>
  </w:style>
  <w:style w:type="character" w:customStyle="1" w:styleId="CharacterStyle-BrightColour">
    <w:name w:val="Character Style - Bright Colour"/>
    <w:uiPriority w:val="11"/>
    <w:qFormat/>
    <w:locked/>
    <w:rsid w:val="006832F9"/>
    <w:rPr>
      <w:color w:val="E52923" w:themeColor="background2"/>
    </w:rPr>
  </w:style>
  <w:style w:type="paragraph" w:customStyle="1" w:styleId="CoverTitle">
    <w:name w:val="Cover Title"/>
    <w:basedOn w:val="Normal"/>
    <w:next w:val="CoverSubtitle"/>
    <w:rsid w:val="006832F9"/>
    <w:pPr>
      <w:spacing w:before="0" w:after="0"/>
    </w:pPr>
    <w:rPr>
      <w:color w:val="000000" w:themeColor="text1"/>
      <w:sz w:val="40"/>
    </w:rPr>
  </w:style>
  <w:style w:type="paragraph" w:customStyle="1" w:styleId="CoverSubtitle">
    <w:name w:val="Cover Subtitle"/>
    <w:basedOn w:val="BodyText"/>
    <w:next w:val="CoverDate"/>
    <w:rsid w:val="006832F9"/>
    <w:pPr>
      <w:spacing w:before="40"/>
    </w:pPr>
    <w:rPr>
      <w:color w:val="00BAD4" w:themeColor="text2"/>
      <w:sz w:val="36"/>
      <w:szCs w:val="76"/>
    </w:rPr>
  </w:style>
  <w:style w:type="paragraph" w:customStyle="1" w:styleId="CoverDate">
    <w:name w:val="Cover Date"/>
    <w:basedOn w:val="Normal"/>
    <w:next w:val="BodyText"/>
    <w:rsid w:val="006832F9"/>
    <w:rPr>
      <w:color w:val="A59C94" w:themeColor="accent3"/>
      <w:sz w:val="28"/>
      <w:szCs w:val="48"/>
    </w:rPr>
  </w:style>
  <w:style w:type="paragraph" w:customStyle="1" w:styleId="Spacer">
    <w:name w:val="Spacer"/>
    <w:basedOn w:val="BodyTextSingleSpacing"/>
    <w:rsid w:val="006832F9"/>
    <w:pPr>
      <w:spacing w:before="160" w:after="160" w:line="280" w:lineRule="atLeast"/>
    </w:pPr>
  </w:style>
  <w:style w:type="paragraph" w:styleId="BalloonText">
    <w:name w:val="Balloon Text"/>
    <w:basedOn w:val="Normal"/>
    <w:link w:val="BalloonTextChar"/>
    <w:uiPriority w:val="99"/>
    <w:semiHidden/>
    <w:rsid w:val="006832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F9"/>
    <w:rPr>
      <w:rFonts w:ascii="Tahoma" w:hAnsi="Tahoma" w:cs="Tahoma"/>
      <w:sz w:val="16"/>
      <w:szCs w:val="16"/>
    </w:rPr>
  </w:style>
  <w:style w:type="paragraph" w:customStyle="1" w:styleId="Heading1NoNumber">
    <w:name w:val="Heading 1 No Number"/>
    <w:basedOn w:val="Heading1"/>
    <w:next w:val="BodyText"/>
    <w:rsid w:val="006832F9"/>
    <w:pPr>
      <w:numPr>
        <w:numId w:val="0"/>
      </w:numPr>
    </w:pPr>
  </w:style>
  <w:style w:type="paragraph" w:styleId="Date">
    <w:name w:val="Date"/>
    <w:basedOn w:val="BodyText"/>
    <w:next w:val="BodyTextSingleSpacing"/>
    <w:link w:val="DateChar"/>
    <w:uiPriority w:val="99"/>
    <w:semiHidden/>
    <w:rsid w:val="006832F9"/>
    <w:pPr>
      <w:pageBreakBefore/>
      <w:spacing w:after="720"/>
    </w:pPr>
  </w:style>
  <w:style w:type="character" w:customStyle="1" w:styleId="DateChar">
    <w:name w:val="Date Char"/>
    <w:basedOn w:val="DefaultParagraphFont"/>
    <w:link w:val="Date"/>
    <w:uiPriority w:val="99"/>
    <w:semiHidden/>
    <w:rsid w:val="006832F9"/>
    <w:rPr>
      <w:rFonts w:ascii="Arial" w:hAnsi="Arial"/>
      <w:sz w:val="20"/>
    </w:rPr>
  </w:style>
  <w:style w:type="paragraph" w:styleId="Signature">
    <w:name w:val="Signature"/>
    <w:basedOn w:val="BodyText"/>
    <w:next w:val="BodyTextSingleSpacing"/>
    <w:link w:val="SignatureChar"/>
    <w:uiPriority w:val="99"/>
    <w:semiHidden/>
    <w:rsid w:val="006832F9"/>
    <w:pPr>
      <w:keepNext/>
      <w:spacing w:before="360" w:after="360"/>
    </w:pPr>
  </w:style>
  <w:style w:type="character" w:customStyle="1" w:styleId="SignatureChar">
    <w:name w:val="Signature Char"/>
    <w:basedOn w:val="DefaultParagraphFont"/>
    <w:link w:val="Signature"/>
    <w:uiPriority w:val="99"/>
    <w:semiHidden/>
    <w:rsid w:val="006832F9"/>
    <w:rPr>
      <w:rFonts w:ascii="Arial" w:hAnsi="Arial"/>
      <w:sz w:val="20"/>
    </w:rPr>
  </w:style>
  <w:style w:type="paragraph" w:customStyle="1" w:styleId="SubjectLine">
    <w:name w:val="Subject Line"/>
    <w:basedOn w:val="BodyText"/>
    <w:next w:val="BodyText"/>
    <w:semiHidden/>
    <w:rsid w:val="006832F9"/>
    <w:rPr>
      <w:b/>
      <w:caps/>
    </w:rPr>
  </w:style>
  <w:style w:type="paragraph" w:customStyle="1" w:styleId="Yourssincerely">
    <w:name w:val="Yours sincerely"/>
    <w:basedOn w:val="BodyText"/>
    <w:next w:val="Signature"/>
    <w:uiPriority w:val="99"/>
    <w:semiHidden/>
    <w:rsid w:val="006832F9"/>
    <w:pPr>
      <w:keepNext/>
    </w:pPr>
  </w:style>
  <w:style w:type="paragraph" w:customStyle="1" w:styleId="Disclaimer">
    <w:name w:val="Disclaimer"/>
    <w:basedOn w:val="Normal"/>
    <w:next w:val="BodyText"/>
    <w:semiHidden/>
    <w:rsid w:val="006832F9"/>
    <w:pPr>
      <w:spacing w:before="3000" w:line="240" w:lineRule="auto"/>
    </w:pPr>
    <w:rPr>
      <w:sz w:val="16"/>
      <w:szCs w:val="16"/>
    </w:rPr>
  </w:style>
  <w:style w:type="paragraph" w:styleId="TableofAuthorities">
    <w:name w:val="table of authorities"/>
    <w:basedOn w:val="TableofFigures"/>
    <w:next w:val="BodyText"/>
    <w:uiPriority w:val="99"/>
    <w:semiHidden/>
    <w:rsid w:val="006832F9"/>
  </w:style>
  <w:style w:type="paragraph" w:customStyle="1" w:styleId="Citationtext">
    <w:name w:val="Citation text"/>
    <w:basedOn w:val="BodyText"/>
    <w:rsid w:val="006832F9"/>
    <w:pPr>
      <w:spacing w:before="360" w:after="360"/>
    </w:pPr>
    <w:rPr>
      <w:i/>
      <w:color w:val="00BAD4" w:themeColor="text2"/>
      <w:sz w:val="24"/>
    </w:rPr>
  </w:style>
  <w:style w:type="character" w:customStyle="1" w:styleId="Heading8Char">
    <w:name w:val="Heading 8 Char"/>
    <w:basedOn w:val="DefaultParagraphFont"/>
    <w:link w:val="Heading8"/>
    <w:uiPriority w:val="12"/>
    <w:rsid w:val="006832F9"/>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6832F9"/>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6832F9"/>
    <w:pPr>
      <w:spacing w:after="360"/>
    </w:pPr>
  </w:style>
  <w:style w:type="character" w:styleId="PlaceholderText">
    <w:name w:val="Placeholder Text"/>
    <w:basedOn w:val="DefaultParagraphFont"/>
    <w:uiPriority w:val="99"/>
    <w:rsid w:val="006832F9"/>
    <w:rPr>
      <w:color w:val="808080"/>
    </w:rPr>
  </w:style>
  <w:style w:type="paragraph" w:styleId="Quote">
    <w:name w:val="Quote"/>
    <w:basedOn w:val="BodyText"/>
    <w:next w:val="BodyText"/>
    <w:link w:val="QuoteChar"/>
    <w:uiPriority w:val="9"/>
    <w:qFormat/>
    <w:rsid w:val="006832F9"/>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6832F9"/>
    <w:rPr>
      <w:rFonts w:ascii="Arial" w:hAnsi="Arial"/>
      <w:i/>
      <w:iCs/>
      <w:color w:val="00B398" w:themeColor="accent5"/>
      <w:sz w:val="20"/>
    </w:rPr>
  </w:style>
  <w:style w:type="paragraph" w:customStyle="1" w:styleId="PageNo">
    <w:name w:val="Page No"/>
    <w:basedOn w:val="Footer"/>
    <w:link w:val="PageNoChar"/>
    <w:rsid w:val="006832F9"/>
    <w:pPr>
      <w:jc w:val="right"/>
    </w:pPr>
  </w:style>
  <w:style w:type="paragraph" w:customStyle="1" w:styleId="TableHeadingWhiteFont">
    <w:name w:val="Table Heading White Font"/>
    <w:basedOn w:val="TableText"/>
    <w:rsid w:val="006832F9"/>
    <w:pPr>
      <w:numPr>
        <w:numId w:val="0"/>
      </w:numPr>
    </w:pPr>
    <w:rPr>
      <w:color w:val="FFFFFF" w:themeColor="background1"/>
    </w:rPr>
  </w:style>
  <w:style w:type="character" w:customStyle="1" w:styleId="PageNoChar">
    <w:name w:val="Page No Char"/>
    <w:basedOn w:val="FooterChar"/>
    <w:link w:val="PageNo"/>
    <w:rsid w:val="006832F9"/>
    <w:rPr>
      <w:rFonts w:ascii="Arial" w:hAnsi="Arial" w:cstheme="minorHAnsi"/>
      <w:noProof/>
      <w:color w:val="000000" w:themeColor="text1"/>
      <w:sz w:val="16"/>
      <w:szCs w:val="18"/>
    </w:rPr>
  </w:style>
  <w:style w:type="paragraph" w:customStyle="1" w:styleId="Heading2NoNumber">
    <w:name w:val="Heading 2 No Number"/>
    <w:basedOn w:val="Heading2"/>
    <w:uiPriority w:val="99"/>
    <w:qFormat/>
    <w:rsid w:val="006832F9"/>
    <w:pPr>
      <w:numPr>
        <w:ilvl w:val="0"/>
        <w:numId w:val="0"/>
      </w:numPr>
    </w:pPr>
  </w:style>
  <w:style w:type="paragraph" w:customStyle="1" w:styleId="Heading3NoNumber">
    <w:name w:val="Heading 3 No Number"/>
    <w:basedOn w:val="Heading3"/>
    <w:uiPriority w:val="99"/>
    <w:qFormat/>
    <w:rsid w:val="006832F9"/>
    <w:pPr>
      <w:numPr>
        <w:ilvl w:val="0"/>
        <w:numId w:val="0"/>
      </w:numPr>
    </w:pPr>
  </w:style>
  <w:style w:type="paragraph" w:customStyle="1" w:styleId="Calloutheading">
    <w:name w:val="Callout heading"/>
    <w:basedOn w:val="BodyText"/>
    <w:uiPriority w:val="9"/>
    <w:qFormat/>
    <w:rsid w:val="006832F9"/>
    <w:pPr>
      <w:spacing w:before="0"/>
    </w:pPr>
    <w:rPr>
      <w:b/>
      <w:color w:val="646F14" w:themeColor="accent1" w:themeShade="80"/>
    </w:rPr>
  </w:style>
  <w:style w:type="paragraph" w:customStyle="1" w:styleId="ChapterTitle">
    <w:name w:val="Chapter Title"/>
    <w:basedOn w:val="BodyText"/>
    <w:uiPriority w:val="99"/>
    <w:qFormat/>
    <w:rsid w:val="006832F9"/>
    <w:rPr>
      <w:sz w:val="68"/>
    </w:rPr>
  </w:style>
  <w:style w:type="paragraph" w:customStyle="1" w:styleId="ChapterSubtitle">
    <w:name w:val="Chapter Subtitle"/>
    <w:basedOn w:val="ChapterTitle"/>
    <w:next w:val="BodyText"/>
    <w:uiPriority w:val="99"/>
    <w:qFormat/>
    <w:rsid w:val="006832F9"/>
    <w:rPr>
      <w:color w:val="796E65" w:themeColor="accent4"/>
      <w:sz w:val="56"/>
    </w:rPr>
  </w:style>
  <w:style w:type="character" w:customStyle="1" w:styleId="CharacterStyle-Italic">
    <w:name w:val="Character Style - Italic"/>
    <w:basedOn w:val="CharacterStyle-BrightColour"/>
    <w:uiPriority w:val="1"/>
    <w:qFormat/>
    <w:rsid w:val="006832F9"/>
    <w:rPr>
      <w:i/>
      <w:color w:val="auto"/>
    </w:rPr>
  </w:style>
  <w:style w:type="character" w:customStyle="1" w:styleId="CharacterStyle-Underline">
    <w:name w:val="Character Style - Underline"/>
    <w:basedOn w:val="DefaultParagraphFont"/>
    <w:uiPriority w:val="1"/>
    <w:qFormat/>
    <w:rsid w:val="006832F9"/>
    <w:rPr>
      <w:u w:val="single"/>
    </w:rPr>
  </w:style>
  <w:style w:type="character" w:customStyle="1" w:styleId="CharacterStyle-Bold">
    <w:name w:val="Character Style - Bold"/>
    <w:basedOn w:val="DefaultParagraphFont"/>
    <w:uiPriority w:val="1"/>
    <w:qFormat/>
    <w:rsid w:val="006832F9"/>
    <w:rPr>
      <w:b/>
    </w:rPr>
  </w:style>
  <w:style w:type="character" w:customStyle="1" w:styleId="CharacterStyle-Subscript">
    <w:name w:val="Character Style - Subscript"/>
    <w:basedOn w:val="DefaultParagraphFont"/>
    <w:uiPriority w:val="1"/>
    <w:qFormat/>
    <w:rsid w:val="006832F9"/>
    <w:rPr>
      <w:vertAlign w:val="subscript"/>
    </w:rPr>
  </w:style>
  <w:style w:type="character" w:customStyle="1" w:styleId="CharacterStyle-Superscript">
    <w:name w:val="Character Style - Superscript"/>
    <w:basedOn w:val="DefaultParagraphFont"/>
    <w:uiPriority w:val="1"/>
    <w:qFormat/>
    <w:rsid w:val="006832F9"/>
    <w:rPr>
      <w:vertAlign w:val="superscript"/>
    </w:rPr>
  </w:style>
  <w:style w:type="character" w:customStyle="1" w:styleId="CharacterStyle-Highlight">
    <w:name w:val="Character Style - Highlight"/>
    <w:basedOn w:val="DefaultParagraphFont"/>
    <w:uiPriority w:val="1"/>
    <w:qFormat/>
    <w:rsid w:val="006832F9"/>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6832F9"/>
    <w:rPr>
      <w:strike/>
      <w:dstrike w:val="0"/>
    </w:rPr>
  </w:style>
  <w:style w:type="paragraph" w:customStyle="1" w:styleId="Callouttext">
    <w:name w:val="Callout text"/>
    <w:basedOn w:val="Calloutheading"/>
    <w:uiPriority w:val="9"/>
    <w:qFormat/>
    <w:rsid w:val="006832F9"/>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6832F9"/>
    <w:rPr>
      <w:color w:val="A59C94" w:themeColor="accent3"/>
      <w:u w:val="single"/>
    </w:rPr>
  </w:style>
  <w:style w:type="character" w:customStyle="1" w:styleId="Callouttextcolour">
    <w:name w:val="Callout text colour"/>
    <w:basedOn w:val="DefaultParagraphFont"/>
    <w:uiPriority w:val="1"/>
    <w:qFormat/>
    <w:rsid w:val="006832F9"/>
    <w:rPr>
      <w:color w:val="3C3732" w:themeColor="accent4" w:themeShade="80"/>
      <w:lang w:val="en-GB"/>
    </w:rPr>
  </w:style>
  <w:style w:type="character" w:styleId="CommentReference">
    <w:name w:val="annotation reference"/>
    <w:basedOn w:val="DefaultParagraphFont"/>
    <w:uiPriority w:val="99"/>
    <w:semiHidden/>
    <w:rsid w:val="00F2222F"/>
    <w:rPr>
      <w:sz w:val="16"/>
      <w:szCs w:val="16"/>
    </w:rPr>
  </w:style>
  <w:style w:type="paragraph" w:styleId="CommentText">
    <w:name w:val="annotation text"/>
    <w:basedOn w:val="Normal"/>
    <w:link w:val="CommentTextChar"/>
    <w:uiPriority w:val="99"/>
    <w:semiHidden/>
    <w:rsid w:val="00F2222F"/>
    <w:pPr>
      <w:spacing w:line="240" w:lineRule="auto"/>
    </w:pPr>
    <w:rPr>
      <w:szCs w:val="20"/>
    </w:rPr>
  </w:style>
  <w:style w:type="character" w:customStyle="1" w:styleId="CommentTextChar">
    <w:name w:val="Comment Text Char"/>
    <w:basedOn w:val="DefaultParagraphFont"/>
    <w:link w:val="CommentText"/>
    <w:uiPriority w:val="99"/>
    <w:semiHidden/>
    <w:rsid w:val="00F2222F"/>
    <w:rPr>
      <w:rFonts w:ascii="Arial" w:hAnsi="Arial"/>
      <w:sz w:val="20"/>
      <w:szCs w:val="20"/>
    </w:rPr>
  </w:style>
  <w:style w:type="paragraph" w:styleId="CommentSubject">
    <w:name w:val="annotation subject"/>
    <w:basedOn w:val="CommentText"/>
    <w:next w:val="CommentText"/>
    <w:link w:val="CommentSubjectChar"/>
    <w:uiPriority w:val="99"/>
    <w:semiHidden/>
    <w:rsid w:val="00F2222F"/>
    <w:rPr>
      <w:b/>
      <w:bCs/>
    </w:rPr>
  </w:style>
  <w:style w:type="character" w:customStyle="1" w:styleId="CommentSubjectChar">
    <w:name w:val="Comment Subject Char"/>
    <w:basedOn w:val="CommentTextChar"/>
    <w:link w:val="CommentSubject"/>
    <w:uiPriority w:val="99"/>
    <w:semiHidden/>
    <w:rsid w:val="00F2222F"/>
    <w:rPr>
      <w:rFonts w:ascii="Arial" w:hAnsi="Arial"/>
      <w:b/>
      <w:bCs/>
      <w:sz w:val="20"/>
      <w:szCs w:val="20"/>
    </w:rPr>
  </w:style>
  <w:style w:type="paragraph" w:styleId="Revision">
    <w:name w:val="Revision"/>
    <w:hidden/>
    <w:uiPriority w:val="99"/>
    <w:semiHidden/>
    <w:rsid w:val="00642453"/>
    <w:pPr>
      <w:spacing w:after="0" w:line="240" w:lineRule="auto"/>
    </w:pPr>
    <w:rPr>
      <w:rFonts w:ascii="Arial" w:hAnsi="Arial"/>
    </w:rPr>
  </w:style>
  <w:style w:type="paragraph" w:customStyle="1" w:styleId="ObjectWide">
    <w:name w:val="Object Wide"/>
    <w:basedOn w:val="Object"/>
    <w:next w:val="BodyText"/>
    <w:rsid w:val="006832F9"/>
    <w:pPr>
      <w:ind w:left="-1871"/>
    </w:pPr>
    <w:rPr>
      <w:bCs/>
      <w:noProof/>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6832F9"/>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6832F9"/>
    <w:pPr>
      <w:keepNext/>
      <w:pageBreakBefore/>
      <w:numPr>
        <w:numId w:val="21"/>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6832F9"/>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6832F9"/>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6832F9"/>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6832F9"/>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6832F9"/>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6832F9"/>
    <w:pPr>
      <w:numPr>
        <w:ilvl w:val="4"/>
      </w:numPr>
      <w:tabs>
        <w:tab w:val="left" w:pos="2835"/>
      </w:tabs>
      <w:outlineLvl w:val="6"/>
    </w:pPr>
    <w:rPr>
      <w:iCs/>
    </w:rPr>
  </w:style>
  <w:style w:type="paragraph" w:styleId="Heading8">
    <w:name w:val="heading 8"/>
    <w:basedOn w:val="Heading7"/>
    <w:next w:val="BodyText"/>
    <w:link w:val="Heading8Char"/>
    <w:uiPriority w:val="12"/>
    <w:qFormat/>
    <w:rsid w:val="006832F9"/>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6832F9"/>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6832F9"/>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6832F9"/>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6832F9"/>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6832F9"/>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6832F9"/>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6832F9"/>
    <w:rPr>
      <w:rFonts w:ascii="Arial" w:hAnsi="Arial"/>
      <w:sz w:val="20"/>
    </w:rPr>
  </w:style>
  <w:style w:type="paragraph" w:styleId="TOC1">
    <w:name w:val="toc 1"/>
    <w:basedOn w:val="Normal"/>
    <w:next w:val="BodyText"/>
    <w:uiPriority w:val="39"/>
    <w:qFormat/>
    <w:rsid w:val="006832F9"/>
    <w:pPr>
      <w:keepLines/>
      <w:tabs>
        <w:tab w:val="right" w:pos="7209"/>
      </w:tabs>
      <w:spacing w:after="80"/>
      <w:ind w:left="454" w:right="1245" w:hanging="454"/>
    </w:pPr>
    <w:rPr>
      <w:noProof/>
      <w:sz w:val="22"/>
    </w:rPr>
  </w:style>
  <w:style w:type="paragraph" w:styleId="TOC2">
    <w:name w:val="toc 2"/>
    <w:basedOn w:val="TOC1"/>
    <w:next w:val="BodyText"/>
    <w:uiPriority w:val="39"/>
    <w:qFormat/>
    <w:rsid w:val="006832F9"/>
    <w:pPr>
      <w:spacing w:before="80"/>
      <w:ind w:left="1134" w:hanging="680"/>
    </w:pPr>
  </w:style>
  <w:style w:type="paragraph" w:styleId="TOC3">
    <w:name w:val="toc 3"/>
    <w:basedOn w:val="TOC2"/>
    <w:next w:val="BodyText"/>
    <w:uiPriority w:val="39"/>
    <w:qFormat/>
    <w:rsid w:val="006832F9"/>
    <w:pPr>
      <w:ind w:left="1985" w:hanging="851"/>
    </w:pPr>
  </w:style>
  <w:style w:type="paragraph" w:styleId="TOC4">
    <w:name w:val="toc 4"/>
    <w:basedOn w:val="TOC1"/>
    <w:next w:val="BodyText"/>
    <w:uiPriority w:val="99"/>
    <w:rsid w:val="006832F9"/>
    <w:pPr>
      <w:spacing w:before="80"/>
      <w:ind w:left="0" w:firstLine="0"/>
    </w:pPr>
  </w:style>
  <w:style w:type="paragraph" w:styleId="TOC5">
    <w:name w:val="toc 5"/>
    <w:basedOn w:val="TOC2"/>
    <w:next w:val="BodyText"/>
    <w:uiPriority w:val="99"/>
    <w:rsid w:val="006832F9"/>
  </w:style>
  <w:style w:type="paragraph" w:styleId="TOC6">
    <w:name w:val="toc 6"/>
    <w:basedOn w:val="TOC3"/>
    <w:next w:val="BodyText"/>
    <w:uiPriority w:val="99"/>
    <w:rsid w:val="006832F9"/>
  </w:style>
  <w:style w:type="character" w:customStyle="1" w:styleId="Heading4Char">
    <w:name w:val="Heading 4 Char"/>
    <w:basedOn w:val="DefaultParagraphFont"/>
    <w:link w:val="Heading4"/>
    <w:uiPriority w:val="9"/>
    <w:rsid w:val="006832F9"/>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6832F9"/>
    <w:pPr>
      <w:ind w:left="1418" w:hanging="1418"/>
    </w:pPr>
  </w:style>
  <w:style w:type="character" w:customStyle="1" w:styleId="Heading5Char">
    <w:name w:val="Heading 5 Char"/>
    <w:aliases w:val="(Main Heading) Char"/>
    <w:basedOn w:val="DefaultParagraphFont"/>
    <w:link w:val="Heading5"/>
    <w:uiPriority w:val="10"/>
    <w:rsid w:val="006832F9"/>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6832F9"/>
    <w:pPr>
      <w:spacing w:before="80"/>
      <w:ind w:left="1134" w:hanging="680"/>
    </w:pPr>
  </w:style>
  <w:style w:type="character" w:customStyle="1" w:styleId="Heading6Char">
    <w:name w:val="Heading 6 Char"/>
    <w:aliases w:val="(Subheading) Char"/>
    <w:basedOn w:val="DefaultParagraphFont"/>
    <w:link w:val="Heading6"/>
    <w:uiPriority w:val="11"/>
    <w:rsid w:val="006832F9"/>
    <w:rPr>
      <w:rFonts w:ascii="Arial" w:eastAsiaTheme="majorEastAsia" w:hAnsi="Arial" w:cstheme="minorHAnsi"/>
      <w:b/>
      <w:color w:val="796E65" w:themeColor="accent4"/>
      <w:sz w:val="20"/>
    </w:rPr>
  </w:style>
  <w:style w:type="paragraph" w:styleId="TOC9">
    <w:name w:val="toc 9"/>
    <w:basedOn w:val="TOC8"/>
    <w:next w:val="BodyText"/>
    <w:uiPriority w:val="39"/>
    <w:rsid w:val="006832F9"/>
    <w:pPr>
      <w:ind w:left="1985" w:hanging="851"/>
    </w:pPr>
  </w:style>
  <w:style w:type="paragraph" w:styleId="TOCHeading">
    <w:name w:val="TOC Heading"/>
    <w:basedOn w:val="Heading1"/>
    <w:next w:val="BodyText"/>
    <w:uiPriority w:val="99"/>
    <w:qFormat/>
    <w:rsid w:val="006832F9"/>
    <w:pPr>
      <w:numPr>
        <w:numId w:val="0"/>
      </w:numPr>
      <w:outlineLvl w:val="9"/>
    </w:pPr>
  </w:style>
  <w:style w:type="paragraph" w:customStyle="1" w:styleId="BodyIndent2">
    <w:name w:val="Body Indent 2"/>
    <w:basedOn w:val="BodyBullet2"/>
    <w:uiPriority w:val="99"/>
    <w:rsid w:val="006832F9"/>
    <w:pPr>
      <w:numPr>
        <w:ilvl w:val="0"/>
        <w:numId w:val="0"/>
      </w:numPr>
      <w:ind w:left="680"/>
    </w:pPr>
  </w:style>
  <w:style w:type="paragraph" w:customStyle="1" w:styleId="BodyIndent3">
    <w:name w:val="Body Indent 3"/>
    <w:basedOn w:val="BodyBullet3"/>
    <w:uiPriority w:val="99"/>
    <w:rsid w:val="006832F9"/>
    <w:pPr>
      <w:numPr>
        <w:ilvl w:val="0"/>
        <w:numId w:val="0"/>
      </w:numPr>
      <w:ind w:left="1021"/>
    </w:pPr>
  </w:style>
  <w:style w:type="character" w:styleId="EndnoteReference">
    <w:name w:val="endnote reference"/>
    <w:basedOn w:val="DefaultParagraphFont"/>
    <w:uiPriority w:val="99"/>
    <w:rsid w:val="006832F9"/>
    <w:rPr>
      <w:vertAlign w:val="superscript"/>
    </w:rPr>
  </w:style>
  <w:style w:type="paragraph" w:styleId="ListBullet">
    <w:name w:val="List Bullet"/>
    <w:basedOn w:val="BodyText"/>
    <w:uiPriority w:val="99"/>
    <w:semiHidden/>
    <w:rsid w:val="006832F9"/>
    <w:pPr>
      <w:numPr>
        <w:numId w:val="24"/>
      </w:numPr>
      <w:spacing w:before="120" w:after="120"/>
      <w:contextualSpacing/>
    </w:pPr>
  </w:style>
  <w:style w:type="table" w:styleId="TableGrid">
    <w:name w:val="Table Grid"/>
    <w:basedOn w:val="TableNormal"/>
    <w:uiPriority w:val="59"/>
    <w:rsid w:val="0068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6832F9"/>
    <w:pPr>
      <w:spacing w:after="360" w:line="240" w:lineRule="auto"/>
    </w:pPr>
    <w:rPr>
      <w:color w:val="A59C94" w:themeColor="accent3"/>
      <w:sz w:val="18"/>
      <w:szCs w:val="18"/>
    </w:rPr>
  </w:style>
  <w:style w:type="paragraph" w:styleId="ListBullet2">
    <w:name w:val="List Bullet 2"/>
    <w:basedOn w:val="ListBullet"/>
    <w:uiPriority w:val="99"/>
    <w:semiHidden/>
    <w:rsid w:val="006832F9"/>
    <w:pPr>
      <w:numPr>
        <w:ilvl w:val="1"/>
      </w:numPr>
    </w:pPr>
  </w:style>
  <w:style w:type="paragraph" w:customStyle="1" w:styleId="TableText">
    <w:name w:val="Table Text"/>
    <w:uiPriority w:val="2"/>
    <w:qFormat/>
    <w:rsid w:val="006832F9"/>
    <w:pPr>
      <w:numPr>
        <w:numId w:val="32"/>
      </w:numPr>
      <w:spacing w:before="80" w:after="80" w:line="240" w:lineRule="auto"/>
    </w:pPr>
    <w:rPr>
      <w:rFonts w:ascii="Arial" w:hAnsi="Arial"/>
      <w:sz w:val="18"/>
      <w:szCs w:val="20"/>
    </w:rPr>
  </w:style>
  <w:style w:type="paragraph" w:styleId="EndnoteText">
    <w:name w:val="endnote text"/>
    <w:basedOn w:val="Normal"/>
    <w:link w:val="EndnoteTextChar"/>
    <w:uiPriority w:val="99"/>
    <w:rsid w:val="006832F9"/>
    <w:pPr>
      <w:keepLines/>
      <w:spacing w:line="240" w:lineRule="auto"/>
      <w:ind w:left="340" w:hanging="340"/>
    </w:pPr>
    <w:rPr>
      <w:sz w:val="18"/>
      <w:szCs w:val="18"/>
    </w:rPr>
  </w:style>
  <w:style w:type="paragraph" w:styleId="ListBullet3">
    <w:name w:val="List Bullet 3"/>
    <w:basedOn w:val="ListBullet2"/>
    <w:uiPriority w:val="99"/>
    <w:semiHidden/>
    <w:rsid w:val="006832F9"/>
    <w:pPr>
      <w:numPr>
        <w:ilvl w:val="2"/>
      </w:numPr>
    </w:pPr>
  </w:style>
  <w:style w:type="character" w:customStyle="1" w:styleId="EndnoteTextChar">
    <w:name w:val="Endnote Text Char"/>
    <w:basedOn w:val="DefaultParagraphFont"/>
    <w:link w:val="EndnoteText"/>
    <w:uiPriority w:val="99"/>
    <w:rsid w:val="006832F9"/>
    <w:rPr>
      <w:rFonts w:ascii="Arial" w:hAnsi="Arial"/>
      <w:sz w:val="18"/>
      <w:szCs w:val="18"/>
    </w:rPr>
  </w:style>
  <w:style w:type="paragraph" w:styleId="Footer">
    <w:name w:val="footer"/>
    <w:basedOn w:val="BodyText"/>
    <w:link w:val="FooterChar"/>
    <w:uiPriority w:val="99"/>
    <w:rsid w:val="006832F9"/>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6832F9"/>
    <w:rPr>
      <w:rFonts w:ascii="Arial" w:hAnsi="Arial" w:cstheme="minorHAnsi"/>
      <w:noProof/>
      <w:color w:val="000000" w:themeColor="text1"/>
      <w:sz w:val="16"/>
      <w:szCs w:val="18"/>
    </w:rPr>
  </w:style>
  <w:style w:type="character" w:styleId="FootnoteReference">
    <w:name w:val="footnote reference"/>
    <w:basedOn w:val="DefaultParagraphFont"/>
    <w:uiPriority w:val="99"/>
    <w:rsid w:val="006832F9"/>
    <w:rPr>
      <w:vertAlign w:val="superscript"/>
    </w:rPr>
  </w:style>
  <w:style w:type="paragraph" w:styleId="FootnoteText">
    <w:name w:val="footnote text"/>
    <w:basedOn w:val="Normal"/>
    <w:link w:val="FootnoteTextChar"/>
    <w:uiPriority w:val="99"/>
    <w:rsid w:val="006832F9"/>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6832F9"/>
    <w:rPr>
      <w:rFonts w:ascii="Arial" w:hAnsi="Arial"/>
      <w:sz w:val="18"/>
      <w:szCs w:val="18"/>
    </w:rPr>
  </w:style>
  <w:style w:type="paragraph" w:styleId="Header">
    <w:name w:val="header"/>
    <w:basedOn w:val="BodyText"/>
    <w:link w:val="HeaderChar"/>
    <w:uiPriority w:val="99"/>
    <w:rsid w:val="006832F9"/>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6832F9"/>
    <w:rPr>
      <w:rFonts w:ascii="Arial" w:hAnsi="Arial"/>
      <w:color w:val="00BAD4" w:themeColor="text2"/>
      <w:sz w:val="16"/>
      <w:szCs w:val="18"/>
    </w:rPr>
  </w:style>
  <w:style w:type="character" w:styleId="Hyperlink">
    <w:name w:val="Hyperlink"/>
    <w:basedOn w:val="DefaultParagraphFont"/>
    <w:uiPriority w:val="99"/>
    <w:rsid w:val="006832F9"/>
    <w:rPr>
      <w:color w:val="005C6A" w:themeColor="text2" w:themeShade="80"/>
      <w:u w:val="single"/>
    </w:rPr>
  </w:style>
  <w:style w:type="paragraph" w:styleId="ListNumber">
    <w:name w:val="List Number"/>
    <w:basedOn w:val="BodyText"/>
    <w:uiPriority w:val="99"/>
    <w:semiHidden/>
    <w:rsid w:val="006832F9"/>
    <w:pPr>
      <w:numPr>
        <w:numId w:val="25"/>
      </w:numPr>
      <w:contextualSpacing/>
    </w:pPr>
  </w:style>
  <w:style w:type="paragraph" w:styleId="ListNumber2">
    <w:name w:val="List Number 2"/>
    <w:basedOn w:val="ListNumber"/>
    <w:uiPriority w:val="99"/>
    <w:semiHidden/>
    <w:rsid w:val="006832F9"/>
    <w:pPr>
      <w:numPr>
        <w:numId w:val="26"/>
      </w:numPr>
    </w:pPr>
  </w:style>
  <w:style w:type="paragraph" w:styleId="ListNumber3">
    <w:name w:val="List Number 3"/>
    <w:basedOn w:val="List2"/>
    <w:uiPriority w:val="99"/>
    <w:semiHidden/>
    <w:rsid w:val="006832F9"/>
    <w:pPr>
      <w:numPr>
        <w:numId w:val="27"/>
      </w:numPr>
    </w:pPr>
  </w:style>
  <w:style w:type="character" w:styleId="PageNumber">
    <w:name w:val="page number"/>
    <w:basedOn w:val="DefaultParagraphFont"/>
    <w:uiPriority w:val="99"/>
    <w:semiHidden/>
    <w:rsid w:val="006832F9"/>
  </w:style>
  <w:style w:type="paragraph" w:styleId="List2">
    <w:name w:val="List 2"/>
    <w:basedOn w:val="Normal"/>
    <w:uiPriority w:val="99"/>
    <w:semiHidden/>
    <w:rsid w:val="006832F9"/>
    <w:pPr>
      <w:ind w:left="566" w:hanging="283"/>
      <w:contextualSpacing/>
    </w:pPr>
  </w:style>
  <w:style w:type="paragraph" w:styleId="TableofFigures">
    <w:name w:val="table of figures"/>
    <w:basedOn w:val="TOC1"/>
    <w:next w:val="BodyText"/>
    <w:uiPriority w:val="99"/>
    <w:rsid w:val="006832F9"/>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6832F9"/>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6832F9"/>
    <w:pPr>
      <w:numPr>
        <w:numId w:val="35"/>
      </w:numPr>
    </w:pPr>
  </w:style>
  <w:style w:type="paragraph" w:customStyle="1" w:styleId="TableBullet2">
    <w:name w:val="Table Bullet 2"/>
    <w:basedOn w:val="TableBullet1"/>
    <w:uiPriority w:val="3"/>
    <w:qFormat/>
    <w:rsid w:val="006832F9"/>
    <w:pPr>
      <w:numPr>
        <w:ilvl w:val="1"/>
      </w:numPr>
    </w:pPr>
  </w:style>
  <w:style w:type="paragraph" w:customStyle="1" w:styleId="BodyNumbering1">
    <w:name w:val="Body Numbering 1"/>
    <w:basedOn w:val="BodyBullet1"/>
    <w:uiPriority w:val="7"/>
    <w:qFormat/>
    <w:rsid w:val="006832F9"/>
    <w:pPr>
      <w:numPr>
        <w:ilvl w:val="3"/>
      </w:numPr>
    </w:pPr>
  </w:style>
  <w:style w:type="paragraph" w:customStyle="1" w:styleId="BodyNumbering2">
    <w:name w:val="Body Numbering 2"/>
    <w:basedOn w:val="BodyNumbering1"/>
    <w:uiPriority w:val="7"/>
    <w:qFormat/>
    <w:rsid w:val="006832F9"/>
    <w:pPr>
      <w:numPr>
        <w:ilvl w:val="4"/>
      </w:numPr>
    </w:pPr>
  </w:style>
  <w:style w:type="paragraph" w:customStyle="1" w:styleId="BodyBullet1">
    <w:name w:val="Body Bullet 1"/>
    <w:basedOn w:val="BodyText"/>
    <w:uiPriority w:val="1"/>
    <w:qFormat/>
    <w:rsid w:val="006832F9"/>
    <w:pPr>
      <w:numPr>
        <w:numId w:val="14"/>
      </w:numPr>
    </w:pPr>
  </w:style>
  <w:style w:type="paragraph" w:customStyle="1" w:styleId="BodyBullet2">
    <w:name w:val="Body Bullet 2"/>
    <w:basedOn w:val="BodyBullet1"/>
    <w:uiPriority w:val="1"/>
    <w:qFormat/>
    <w:rsid w:val="006832F9"/>
    <w:pPr>
      <w:numPr>
        <w:ilvl w:val="1"/>
      </w:numPr>
    </w:pPr>
  </w:style>
  <w:style w:type="paragraph" w:customStyle="1" w:styleId="BodyBullet3">
    <w:name w:val="Body Bullet 3"/>
    <w:basedOn w:val="BodyBullet2"/>
    <w:uiPriority w:val="1"/>
    <w:qFormat/>
    <w:rsid w:val="006832F9"/>
    <w:pPr>
      <w:numPr>
        <w:ilvl w:val="2"/>
      </w:numPr>
    </w:pPr>
  </w:style>
  <w:style w:type="paragraph" w:customStyle="1" w:styleId="BodyNumbering3">
    <w:name w:val="Body Numbering 3"/>
    <w:basedOn w:val="BodyNumbering2"/>
    <w:uiPriority w:val="7"/>
    <w:qFormat/>
    <w:rsid w:val="006832F9"/>
    <w:pPr>
      <w:numPr>
        <w:ilvl w:val="5"/>
      </w:numPr>
    </w:pPr>
  </w:style>
  <w:style w:type="paragraph" w:customStyle="1" w:styleId="BodyIndent1">
    <w:name w:val="Body Indent 1"/>
    <w:basedOn w:val="BodyBullet1"/>
    <w:uiPriority w:val="99"/>
    <w:rsid w:val="006832F9"/>
    <w:pPr>
      <w:numPr>
        <w:numId w:val="0"/>
      </w:numPr>
      <w:ind w:left="340"/>
    </w:pPr>
  </w:style>
  <w:style w:type="paragraph" w:customStyle="1" w:styleId="TableBullet3">
    <w:name w:val="Table Bullet 3"/>
    <w:basedOn w:val="TableBullet2"/>
    <w:uiPriority w:val="3"/>
    <w:qFormat/>
    <w:rsid w:val="006832F9"/>
    <w:pPr>
      <w:numPr>
        <w:ilvl w:val="2"/>
      </w:numPr>
    </w:pPr>
  </w:style>
  <w:style w:type="paragraph" w:customStyle="1" w:styleId="TableNumbering1">
    <w:name w:val="Table Numbering 1"/>
    <w:basedOn w:val="TableBullet1"/>
    <w:uiPriority w:val="99"/>
    <w:rsid w:val="006832F9"/>
    <w:pPr>
      <w:numPr>
        <w:ilvl w:val="3"/>
      </w:numPr>
    </w:pPr>
  </w:style>
  <w:style w:type="paragraph" w:customStyle="1" w:styleId="TableNumbering2">
    <w:name w:val="Table Numbering 2"/>
    <w:basedOn w:val="TableNumbering1"/>
    <w:uiPriority w:val="99"/>
    <w:rsid w:val="006832F9"/>
    <w:pPr>
      <w:numPr>
        <w:ilvl w:val="4"/>
      </w:numPr>
    </w:pPr>
  </w:style>
  <w:style w:type="paragraph" w:customStyle="1" w:styleId="TableNumbering3">
    <w:name w:val="Table Numbering 3"/>
    <w:basedOn w:val="TableNumbering2"/>
    <w:uiPriority w:val="99"/>
    <w:rsid w:val="006832F9"/>
    <w:pPr>
      <w:numPr>
        <w:ilvl w:val="5"/>
      </w:numPr>
    </w:pPr>
  </w:style>
  <w:style w:type="paragraph" w:customStyle="1" w:styleId="TableIndent1">
    <w:name w:val="Table Indent 1"/>
    <w:basedOn w:val="TableBullet1"/>
    <w:uiPriority w:val="99"/>
    <w:rsid w:val="006832F9"/>
    <w:pPr>
      <w:numPr>
        <w:numId w:val="0"/>
      </w:numPr>
      <w:ind w:left="340"/>
    </w:pPr>
  </w:style>
  <w:style w:type="paragraph" w:customStyle="1" w:styleId="TableIndent2">
    <w:name w:val="Table Indent 2"/>
    <w:basedOn w:val="TableBullet2"/>
    <w:uiPriority w:val="99"/>
    <w:rsid w:val="006832F9"/>
    <w:pPr>
      <w:numPr>
        <w:ilvl w:val="0"/>
        <w:numId w:val="0"/>
      </w:numPr>
      <w:ind w:left="680"/>
    </w:pPr>
  </w:style>
  <w:style w:type="paragraph" w:customStyle="1" w:styleId="TableIndent3">
    <w:name w:val="Table Indent 3"/>
    <w:basedOn w:val="TableBullet3"/>
    <w:uiPriority w:val="99"/>
    <w:rsid w:val="006832F9"/>
    <w:pPr>
      <w:numPr>
        <w:ilvl w:val="0"/>
        <w:numId w:val="0"/>
      </w:numPr>
      <w:ind w:left="1021"/>
    </w:pPr>
  </w:style>
  <w:style w:type="table" w:customStyle="1" w:styleId="MainTableStyle">
    <w:name w:val="Main Table Style"/>
    <w:basedOn w:val="TableNormal"/>
    <w:uiPriority w:val="99"/>
    <w:rsid w:val="006832F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6832F9"/>
    <w:pPr>
      <w:spacing w:before="0" w:after="0" w:line="240" w:lineRule="auto"/>
    </w:pPr>
  </w:style>
  <w:style w:type="table" w:customStyle="1" w:styleId="RowMainTableStyle">
    <w:name w:val="Row Main Table Style"/>
    <w:basedOn w:val="TableNormal"/>
    <w:uiPriority w:val="99"/>
    <w:rsid w:val="006832F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6832F9"/>
    <w:rPr>
      <w:color w:val="00BAD4" w:themeColor="text2"/>
    </w:rPr>
  </w:style>
  <w:style w:type="character" w:customStyle="1" w:styleId="CharacterStyle-BrightColour">
    <w:name w:val="Character Style - Bright Colour"/>
    <w:uiPriority w:val="11"/>
    <w:qFormat/>
    <w:locked/>
    <w:rsid w:val="006832F9"/>
    <w:rPr>
      <w:color w:val="E52923" w:themeColor="background2"/>
    </w:rPr>
  </w:style>
  <w:style w:type="paragraph" w:customStyle="1" w:styleId="CoverTitle">
    <w:name w:val="Cover Title"/>
    <w:basedOn w:val="Normal"/>
    <w:next w:val="CoverSubtitle"/>
    <w:rsid w:val="006832F9"/>
    <w:pPr>
      <w:spacing w:before="0" w:after="0"/>
    </w:pPr>
    <w:rPr>
      <w:color w:val="000000" w:themeColor="text1"/>
      <w:sz w:val="40"/>
    </w:rPr>
  </w:style>
  <w:style w:type="paragraph" w:customStyle="1" w:styleId="CoverSubtitle">
    <w:name w:val="Cover Subtitle"/>
    <w:basedOn w:val="BodyText"/>
    <w:next w:val="CoverDate"/>
    <w:rsid w:val="006832F9"/>
    <w:pPr>
      <w:spacing w:before="40"/>
    </w:pPr>
    <w:rPr>
      <w:color w:val="00BAD4" w:themeColor="text2"/>
      <w:sz w:val="36"/>
      <w:szCs w:val="76"/>
    </w:rPr>
  </w:style>
  <w:style w:type="paragraph" w:customStyle="1" w:styleId="CoverDate">
    <w:name w:val="Cover Date"/>
    <w:basedOn w:val="Normal"/>
    <w:next w:val="BodyText"/>
    <w:rsid w:val="006832F9"/>
    <w:rPr>
      <w:color w:val="A59C94" w:themeColor="accent3"/>
      <w:sz w:val="28"/>
      <w:szCs w:val="48"/>
    </w:rPr>
  </w:style>
  <w:style w:type="paragraph" w:customStyle="1" w:styleId="Spacer">
    <w:name w:val="Spacer"/>
    <w:basedOn w:val="BodyTextSingleSpacing"/>
    <w:rsid w:val="006832F9"/>
    <w:pPr>
      <w:spacing w:before="160" w:after="160" w:line="280" w:lineRule="atLeast"/>
    </w:pPr>
  </w:style>
  <w:style w:type="paragraph" w:styleId="BalloonText">
    <w:name w:val="Balloon Text"/>
    <w:basedOn w:val="Normal"/>
    <w:link w:val="BalloonTextChar"/>
    <w:uiPriority w:val="99"/>
    <w:semiHidden/>
    <w:rsid w:val="006832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F9"/>
    <w:rPr>
      <w:rFonts w:ascii="Tahoma" w:hAnsi="Tahoma" w:cs="Tahoma"/>
      <w:sz w:val="16"/>
      <w:szCs w:val="16"/>
    </w:rPr>
  </w:style>
  <w:style w:type="paragraph" w:customStyle="1" w:styleId="Heading1NoNumber">
    <w:name w:val="Heading 1 No Number"/>
    <w:basedOn w:val="Heading1"/>
    <w:next w:val="BodyText"/>
    <w:rsid w:val="006832F9"/>
    <w:pPr>
      <w:numPr>
        <w:numId w:val="0"/>
      </w:numPr>
    </w:pPr>
  </w:style>
  <w:style w:type="paragraph" w:styleId="Date">
    <w:name w:val="Date"/>
    <w:basedOn w:val="BodyText"/>
    <w:next w:val="BodyTextSingleSpacing"/>
    <w:link w:val="DateChar"/>
    <w:uiPriority w:val="99"/>
    <w:semiHidden/>
    <w:rsid w:val="006832F9"/>
    <w:pPr>
      <w:pageBreakBefore/>
      <w:spacing w:after="720"/>
    </w:pPr>
  </w:style>
  <w:style w:type="character" w:customStyle="1" w:styleId="DateChar">
    <w:name w:val="Date Char"/>
    <w:basedOn w:val="DefaultParagraphFont"/>
    <w:link w:val="Date"/>
    <w:uiPriority w:val="99"/>
    <w:semiHidden/>
    <w:rsid w:val="006832F9"/>
    <w:rPr>
      <w:rFonts w:ascii="Arial" w:hAnsi="Arial"/>
      <w:sz w:val="20"/>
    </w:rPr>
  </w:style>
  <w:style w:type="paragraph" w:styleId="Signature">
    <w:name w:val="Signature"/>
    <w:basedOn w:val="BodyText"/>
    <w:next w:val="BodyTextSingleSpacing"/>
    <w:link w:val="SignatureChar"/>
    <w:uiPriority w:val="99"/>
    <w:semiHidden/>
    <w:rsid w:val="006832F9"/>
    <w:pPr>
      <w:keepNext/>
      <w:spacing w:before="360" w:after="360"/>
    </w:pPr>
  </w:style>
  <w:style w:type="character" w:customStyle="1" w:styleId="SignatureChar">
    <w:name w:val="Signature Char"/>
    <w:basedOn w:val="DefaultParagraphFont"/>
    <w:link w:val="Signature"/>
    <w:uiPriority w:val="99"/>
    <w:semiHidden/>
    <w:rsid w:val="006832F9"/>
    <w:rPr>
      <w:rFonts w:ascii="Arial" w:hAnsi="Arial"/>
      <w:sz w:val="20"/>
    </w:rPr>
  </w:style>
  <w:style w:type="paragraph" w:customStyle="1" w:styleId="SubjectLine">
    <w:name w:val="Subject Line"/>
    <w:basedOn w:val="BodyText"/>
    <w:next w:val="BodyText"/>
    <w:semiHidden/>
    <w:rsid w:val="006832F9"/>
    <w:rPr>
      <w:b/>
      <w:caps/>
    </w:rPr>
  </w:style>
  <w:style w:type="paragraph" w:customStyle="1" w:styleId="Yourssincerely">
    <w:name w:val="Yours sincerely"/>
    <w:basedOn w:val="BodyText"/>
    <w:next w:val="Signature"/>
    <w:uiPriority w:val="99"/>
    <w:semiHidden/>
    <w:rsid w:val="006832F9"/>
    <w:pPr>
      <w:keepNext/>
    </w:pPr>
  </w:style>
  <w:style w:type="paragraph" w:customStyle="1" w:styleId="Disclaimer">
    <w:name w:val="Disclaimer"/>
    <w:basedOn w:val="Normal"/>
    <w:next w:val="BodyText"/>
    <w:semiHidden/>
    <w:rsid w:val="006832F9"/>
    <w:pPr>
      <w:spacing w:before="3000" w:line="240" w:lineRule="auto"/>
    </w:pPr>
    <w:rPr>
      <w:sz w:val="16"/>
      <w:szCs w:val="16"/>
    </w:rPr>
  </w:style>
  <w:style w:type="paragraph" w:styleId="TableofAuthorities">
    <w:name w:val="table of authorities"/>
    <w:basedOn w:val="TableofFigures"/>
    <w:next w:val="BodyText"/>
    <w:uiPriority w:val="99"/>
    <w:semiHidden/>
    <w:rsid w:val="006832F9"/>
  </w:style>
  <w:style w:type="paragraph" w:customStyle="1" w:styleId="Citationtext">
    <w:name w:val="Citation text"/>
    <w:basedOn w:val="BodyText"/>
    <w:rsid w:val="006832F9"/>
    <w:pPr>
      <w:spacing w:before="360" w:after="360"/>
    </w:pPr>
    <w:rPr>
      <w:i/>
      <w:color w:val="00BAD4" w:themeColor="text2"/>
      <w:sz w:val="24"/>
    </w:rPr>
  </w:style>
  <w:style w:type="character" w:customStyle="1" w:styleId="Heading8Char">
    <w:name w:val="Heading 8 Char"/>
    <w:basedOn w:val="DefaultParagraphFont"/>
    <w:link w:val="Heading8"/>
    <w:uiPriority w:val="12"/>
    <w:rsid w:val="006832F9"/>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6832F9"/>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6832F9"/>
    <w:pPr>
      <w:spacing w:after="360"/>
    </w:pPr>
  </w:style>
  <w:style w:type="character" w:styleId="PlaceholderText">
    <w:name w:val="Placeholder Text"/>
    <w:basedOn w:val="DefaultParagraphFont"/>
    <w:uiPriority w:val="99"/>
    <w:rsid w:val="006832F9"/>
    <w:rPr>
      <w:color w:val="808080"/>
    </w:rPr>
  </w:style>
  <w:style w:type="paragraph" w:styleId="Quote">
    <w:name w:val="Quote"/>
    <w:basedOn w:val="BodyText"/>
    <w:next w:val="BodyText"/>
    <w:link w:val="QuoteChar"/>
    <w:uiPriority w:val="9"/>
    <w:qFormat/>
    <w:rsid w:val="006832F9"/>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6832F9"/>
    <w:rPr>
      <w:rFonts w:ascii="Arial" w:hAnsi="Arial"/>
      <w:i/>
      <w:iCs/>
      <w:color w:val="00B398" w:themeColor="accent5"/>
      <w:sz w:val="20"/>
    </w:rPr>
  </w:style>
  <w:style w:type="paragraph" w:customStyle="1" w:styleId="PageNo">
    <w:name w:val="Page No"/>
    <w:basedOn w:val="Footer"/>
    <w:link w:val="PageNoChar"/>
    <w:rsid w:val="006832F9"/>
    <w:pPr>
      <w:jc w:val="right"/>
    </w:pPr>
  </w:style>
  <w:style w:type="paragraph" w:customStyle="1" w:styleId="TableHeadingWhiteFont">
    <w:name w:val="Table Heading White Font"/>
    <w:basedOn w:val="TableText"/>
    <w:rsid w:val="006832F9"/>
    <w:pPr>
      <w:numPr>
        <w:numId w:val="0"/>
      </w:numPr>
    </w:pPr>
    <w:rPr>
      <w:color w:val="FFFFFF" w:themeColor="background1"/>
    </w:rPr>
  </w:style>
  <w:style w:type="character" w:customStyle="1" w:styleId="PageNoChar">
    <w:name w:val="Page No Char"/>
    <w:basedOn w:val="FooterChar"/>
    <w:link w:val="PageNo"/>
    <w:rsid w:val="006832F9"/>
    <w:rPr>
      <w:rFonts w:ascii="Arial" w:hAnsi="Arial" w:cstheme="minorHAnsi"/>
      <w:noProof/>
      <w:color w:val="000000" w:themeColor="text1"/>
      <w:sz w:val="16"/>
      <w:szCs w:val="18"/>
    </w:rPr>
  </w:style>
  <w:style w:type="paragraph" w:customStyle="1" w:styleId="Heading2NoNumber">
    <w:name w:val="Heading 2 No Number"/>
    <w:basedOn w:val="Heading2"/>
    <w:uiPriority w:val="99"/>
    <w:qFormat/>
    <w:rsid w:val="006832F9"/>
    <w:pPr>
      <w:numPr>
        <w:ilvl w:val="0"/>
        <w:numId w:val="0"/>
      </w:numPr>
    </w:pPr>
  </w:style>
  <w:style w:type="paragraph" w:customStyle="1" w:styleId="Heading3NoNumber">
    <w:name w:val="Heading 3 No Number"/>
    <w:basedOn w:val="Heading3"/>
    <w:uiPriority w:val="99"/>
    <w:qFormat/>
    <w:rsid w:val="006832F9"/>
    <w:pPr>
      <w:numPr>
        <w:ilvl w:val="0"/>
        <w:numId w:val="0"/>
      </w:numPr>
    </w:pPr>
  </w:style>
  <w:style w:type="paragraph" w:customStyle="1" w:styleId="Calloutheading">
    <w:name w:val="Callout heading"/>
    <w:basedOn w:val="BodyText"/>
    <w:uiPriority w:val="9"/>
    <w:qFormat/>
    <w:rsid w:val="006832F9"/>
    <w:pPr>
      <w:spacing w:before="0"/>
    </w:pPr>
    <w:rPr>
      <w:b/>
      <w:color w:val="646F14" w:themeColor="accent1" w:themeShade="80"/>
    </w:rPr>
  </w:style>
  <w:style w:type="paragraph" w:customStyle="1" w:styleId="ChapterTitle">
    <w:name w:val="Chapter Title"/>
    <w:basedOn w:val="BodyText"/>
    <w:uiPriority w:val="99"/>
    <w:qFormat/>
    <w:rsid w:val="006832F9"/>
    <w:rPr>
      <w:sz w:val="68"/>
    </w:rPr>
  </w:style>
  <w:style w:type="paragraph" w:customStyle="1" w:styleId="ChapterSubtitle">
    <w:name w:val="Chapter Subtitle"/>
    <w:basedOn w:val="ChapterTitle"/>
    <w:next w:val="BodyText"/>
    <w:uiPriority w:val="99"/>
    <w:qFormat/>
    <w:rsid w:val="006832F9"/>
    <w:rPr>
      <w:color w:val="796E65" w:themeColor="accent4"/>
      <w:sz w:val="56"/>
    </w:rPr>
  </w:style>
  <w:style w:type="character" w:customStyle="1" w:styleId="CharacterStyle-Italic">
    <w:name w:val="Character Style - Italic"/>
    <w:basedOn w:val="CharacterStyle-BrightColour"/>
    <w:uiPriority w:val="1"/>
    <w:qFormat/>
    <w:rsid w:val="006832F9"/>
    <w:rPr>
      <w:i/>
      <w:color w:val="auto"/>
    </w:rPr>
  </w:style>
  <w:style w:type="character" w:customStyle="1" w:styleId="CharacterStyle-Underline">
    <w:name w:val="Character Style - Underline"/>
    <w:basedOn w:val="DefaultParagraphFont"/>
    <w:uiPriority w:val="1"/>
    <w:qFormat/>
    <w:rsid w:val="006832F9"/>
    <w:rPr>
      <w:u w:val="single"/>
    </w:rPr>
  </w:style>
  <w:style w:type="character" w:customStyle="1" w:styleId="CharacterStyle-Bold">
    <w:name w:val="Character Style - Bold"/>
    <w:basedOn w:val="DefaultParagraphFont"/>
    <w:uiPriority w:val="1"/>
    <w:qFormat/>
    <w:rsid w:val="006832F9"/>
    <w:rPr>
      <w:b/>
    </w:rPr>
  </w:style>
  <w:style w:type="character" w:customStyle="1" w:styleId="CharacterStyle-Subscript">
    <w:name w:val="Character Style - Subscript"/>
    <w:basedOn w:val="DefaultParagraphFont"/>
    <w:uiPriority w:val="1"/>
    <w:qFormat/>
    <w:rsid w:val="006832F9"/>
    <w:rPr>
      <w:vertAlign w:val="subscript"/>
    </w:rPr>
  </w:style>
  <w:style w:type="character" w:customStyle="1" w:styleId="CharacterStyle-Superscript">
    <w:name w:val="Character Style - Superscript"/>
    <w:basedOn w:val="DefaultParagraphFont"/>
    <w:uiPriority w:val="1"/>
    <w:qFormat/>
    <w:rsid w:val="006832F9"/>
    <w:rPr>
      <w:vertAlign w:val="superscript"/>
    </w:rPr>
  </w:style>
  <w:style w:type="character" w:customStyle="1" w:styleId="CharacterStyle-Highlight">
    <w:name w:val="Character Style - Highlight"/>
    <w:basedOn w:val="DefaultParagraphFont"/>
    <w:uiPriority w:val="1"/>
    <w:qFormat/>
    <w:rsid w:val="006832F9"/>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6832F9"/>
    <w:rPr>
      <w:strike/>
      <w:dstrike w:val="0"/>
    </w:rPr>
  </w:style>
  <w:style w:type="paragraph" w:customStyle="1" w:styleId="Callouttext">
    <w:name w:val="Callout text"/>
    <w:basedOn w:val="Calloutheading"/>
    <w:uiPriority w:val="9"/>
    <w:qFormat/>
    <w:rsid w:val="006832F9"/>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6832F9"/>
    <w:rPr>
      <w:color w:val="A59C94" w:themeColor="accent3"/>
      <w:u w:val="single"/>
    </w:rPr>
  </w:style>
  <w:style w:type="character" w:customStyle="1" w:styleId="Callouttextcolour">
    <w:name w:val="Callout text colour"/>
    <w:basedOn w:val="DefaultParagraphFont"/>
    <w:uiPriority w:val="1"/>
    <w:qFormat/>
    <w:rsid w:val="006832F9"/>
    <w:rPr>
      <w:color w:val="3C3732" w:themeColor="accent4" w:themeShade="80"/>
      <w:lang w:val="en-GB"/>
    </w:rPr>
  </w:style>
  <w:style w:type="character" w:styleId="CommentReference">
    <w:name w:val="annotation reference"/>
    <w:basedOn w:val="DefaultParagraphFont"/>
    <w:uiPriority w:val="99"/>
    <w:semiHidden/>
    <w:rsid w:val="00F2222F"/>
    <w:rPr>
      <w:sz w:val="16"/>
      <w:szCs w:val="16"/>
    </w:rPr>
  </w:style>
  <w:style w:type="paragraph" w:styleId="CommentText">
    <w:name w:val="annotation text"/>
    <w:basedOn w:val="Normal"/>
    <w:link w:val="CommentTextChar"/>
    <w:uiPriority w:val="99"/>
    <w:semiHidden/>
    <w:rsid w:val="00F2222F"/>
    <w:pPr>
      <w:spacing w:line="240" w:lineRule="auto"/>
    </w:pPr>
    <w:rPr>
      <w:szCs w:val="20"/>
    </w:rPr>
  </w:style>
  <w:style w:type="character" w:customStyle="1" w:styleId="CommentTextChar">
    <w:name w:val="Comment Text Char"/>
    <w:basedOn w:val="DefaultParagraphFont"/>
    <w:link w:val="CommentText"/>
    <w:uiPriority w:val="99"/>
    <w:semiHidden/>
    <w:rsid w:val="00F2222F"/>
    <w:rPr>
      <w:rFonts w:ascii="Arial" w:hAnsi="Arial"/>
      <w:sz w:val="20"/>
      <w:szCs w:val="20"/>
    </w:rPr>
  </w:style>
  <w:style w:type="paragraph" w:styleId="CommentSubject">
    <w:name w:val="annotation subject"/>
    <w:basedOn w:val="CommentText"/>
    <w:next w:val="CommentText"/>
    <w:link w:val="CommentSubjectChar"/>
    <w:uiPriority w:val="99"/>
    <w:semiHidden/>
    <w:rsid w:val="00F2222F"/>
    <w:rPr>
      <w:b/>
      <w:bCs/>
    </w:rPr>
  </w:style>
  <w:style w:type="character" w:customStyle="1" w:styleId="CommentSubjectChar">
    <w:name w:val="Comment Subject Char"/>
    <w:basedOn w:val="CommentTextChar"/>
    <w:link w:val="CommentSubject"/>
    <w:uiPriority w:val="99"/>
    <w:semiHidden/>
    <w:rsid w:val="00F2222F"/>
    <w:rPr>
      <w:rFonts w:ascii="Arial" w:hAnsi="Arial"/>
      <w:b/>
      <w:bCs/>
      <w:sz w:val="20"/>
      <w:szCs w:val="20"/>
    </w:rPr>
  </w:style>
  <w:style w:type="paragraph" w:styleId="Revision">
    <w:name w:val="Revision"/>
    <w:hidden/>
    <w:uiPriority w:val="99"/>
    <w:semiHidden/>
    <w:rsid w:val="00642453"/>
    <w:pPr>
      <w:spacing w:after="0" w:line="240" w:lineRule="auto"/>
    </w:pPr>
    <w:rPr>
      <w:rFonts w:ascii="Arial" w:hAnsi="Arial"/>
    </w:rPr>
  </w:style>
  <w:style w:type="paragraph" w:customStyle="1" w:styleId="ObjectWide">
    <w:name w:val="Object Wide"/>
    <w:basedOn w:val="Object"/>
    <w:next w:val="BodyText"/>
    <w:rsid w:val="006832F9"/>
    <w:pPr>
      <w:ind w:left="-1871"/>
    </w:pPr>
    <w:rPr>
      <w:bCs/>
      <w:noProof/>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MMR-AJM-RP-NN-000782</CompanyAddress>
  <CompanyPhone>C1</CompanyPhone>
  <CompanyFax>MMRA</CompanyFax>
  <CompanyEmail>EES – Chapter 4 EES Assessment Framework and Approach</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2F1D1-C6E6-49A1-B42E-5AA62389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Template>
  <TotalTime>3</TotalTime>
  <Pages>21</Pages>
  <Words>6030</Words>
  <Characters>34373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EES - Chapter 1 to 8</vt:lpstr>
    </vt:vector>
  </TitlesOfParts>
  <Company/>
  <LinksUpToDate>false</LinksUpToDate>
  <CharactersWithSpaces>40323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to 8</dc:title>
  <dc:creator>Metuant</dc:creator>
  <cp:lastModifiedBy>McComas, Piers (SKM)</cp:lastModifiedBy>
  <cp:revision>8</cp:revision>
  <cp:lastPrinted>2016-05-12T23:17:00Z</cp:lastPrinted>
  <dcterms:created xsi:type="dcterms:W3CDTF">2016-05-10T02:44:00Z</dcterms:created>
  <dcterms:modified xsi:type="dcterms:W3CDTF">2016-05-23T03:08:00Z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ies>
</file>