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63" w:rsidRDefault="00773FA3" w:rsidP="00332763">
      <w:pPr>
        <w:pStyle w:val="Heading1NoNumber"/>
      </w:pPr>
      <w:bookmarkStart w:id="0" w:name="_General_style_notes"/>
      <w:bookmarkStart w:id="1" w:name="_GoBack"/>
      <w:bookmarkEnd w:id="0"/>
      <w:bookmarkEnd w:id="1"/>
      <w:r w:rsidRPr="00C9372D">
        <w:rPr>
          <w:noProof/>
          <w:lang w:eastAsia="en-AU"/>
        </w:rPr>
        <w:drawing>
          <wp:anchor distT="0" distB="0" distL="114300" distR="114300" simplePos="0" relativeHeight="251659264" behindDoc="1" locked="1" layoutInCell="1" allowOverlap="1" wp14:anchorId="1DB616AE" wp14:editId="6D90E534">
            <wp:simplePos x="0" y="0"/>
            <wp:positionH relativeFrom="page">
              <wp:posOffset>180340</wp:posOffset>
            </wp:positionH>
            <wp:positionV relativeFrom="page">
              <wp:posOffset>180340</wp:posOffset>
            </wp:positionV>
            <wp:extent cx="2030400" cy="2883600"/>
            <wp:effectExtent l="0" t="0" r="8255" b="0"/>
            <wp:wrapNone/>
            <wp:docPr id="2" name="Picture 2" descr="C:\Users\Patrick\SafeSync\Metuant client work\Melbourne Metro Rail Authority\Templates\MM Brand Decal1.jpg"/>
            <wp:cNvGraphicFramePr/>
            <a:graphic xmlns:a="http://schemas.openxmlformats.org/drawingml/2006/main">
              <a:graphicData uri="http://schemas.openxmlformats.org/drawingml/2006/picture">
                <pic:pic xmlns:pic="http://schemas.openxmlformats.org/drawingml/2006/picture">
                  <pic:nvPicPr>
                    <pic:cNvPr id="3" name="Picture 2" descr="C:\Users\Patrick\SafeSync\Metuant client work\Melbourne Metro Rail Authority\Templates\MM Brand Decal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400" cy="288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6D0" w:rsidRPr="00EB00C4">
        <w:rPr>
          <w:vanish/>
          <w:sz w:val="2"/>
          <w:szCs w:val="22"/>
        </w:rPr>
        <w:fldChar w:fldCharType="begin"/>
      </w:r>
      <w:r w:rsidR="00DD66D0" w:rsidRPr="00EB00C4">
        <w:rPr>
          <w:vanish/>
          <w:sz w:val="2"/>
          <w:szCs w:val="22"/>
        </w:rPr>
        <w:instrText xml:space="preserve"> SEQ </w:instrText>
      </w:r>
      <w:r w:rsidR="000C210D" w:rsidRPr="00EB00C4">
        <w:rPr>
          <w:vanish/>
          <w:sz w:val="2"/>
          <w:szCs w:val="22"/>
        </w:rPr>
        <w:instrText>chapter \r</w:instrText>
      </w:r>
      <w:r w:rsidR="00EB00C4" w:rsidRPr="00EB00C4">
        <w:rPr>
          <w:vanish/>
          <w:sz w:val="2"/>
          <w:szCs w:val="22"/>
        </w:rPr>
        <w:instrText>7</w:instrText>
      </w:r>
      <w:r w:rsidR="00DD66D0" w:rsidRPr="00EB00C4">
        <w:rPr>
          <w:vanish/>
          <w:sz w:val="2"/>
          <w:szCs w:val="22"/>
        </w:rPr>
        <w:instrText xml:space="preserve"> \* </w:instrText>
      </w:r>
      <w:r w:rsidR="000C210D" w:rsidRPr="00EB00C4">
        <w:rPr>
          <w:vanish/>
          <w:sz w:val="2"/>
          <w:szCs w:val="22"/>
        </w:rPr>
        <w:instrText>ALPHABETIC</w:instrText>
      </w:r>
      <w:r w:rsidR="00DD66D0" w:rsidRPr="00EB00C4">
        <w:rPr>
          <w:vanish/>
          <w:sz w:val="2"/>
          <w:szCs w:val="22"/>
        </w:rPr>
        <w:instrText xml:space="preserve"> </w:instrText>
      </w:r>
      <w:r w:rsidR="00DD66D0" w:rsidRPr="00EB00C4">
        <w:rPr>
          <w:vanish/>
          <w:sz w:val="2"/>
          <w:szCs w:val="22"/>
        </w:rPr>
        <w:fldChar w:fldCharType="separate"/>
      </w:r>
      <w:r w:rsidR="0013239B">
        <w:rPr>
          <w:noProof/>
          <w:vanish/>
          <w:sz w:val="2"/>
          <w:szCs w:val="22"/>
        </w:rPr>
        <w:t>G</w:t>
      </w:r>
      <w:r w:rsidR="00DD66D0" w:rsidRPr="00EB00C4">
        <w:rPr>
          <w:vanish/>
          <w:sz w:val="2"/>
          <w:szCs w:val="22"/>
        </w:rPr>
        <w:fldChar w:fldCharType="end"/>
      </w:r>
      <w:bookmarkStart w:id="2" w:name="_Toc444485871"/>
      <w:r w:rsidR="00EB00C4">
        <w:t>Glossary and Abbreviations</w:t>
      </w:r>
      <w:bookmarkEnd w:id="2"/>
    </w:p>
    <w:p w:rsidR="00F301E9" w:rsidRPr="00F301E9" w:rsidRDefault="00F301E9" w:rsidP="00F301E9">
      <w:pPr>
        <w:pStyle w:val="Heading3NoNumber"/>
      </w:pPr>
      <w:r>
        <w:t>Glossary of key terms</w:t>
      </w:r>
    </w:p>
    <w:tbl>
      <w:tblPr>
        <w:tblW w:w="7414" w:type="dxa"/>
        <w:tblInd w:w="108" w:type="dxa"/>
        <w:tblLook w:val="04A0" w:firstRow="1" w:lastRow="0" w:firstColumn="1" w:lastColumn="0" w:noHBand="0" w:noVBand="1"/>
      </w:tblPr>
      <w:tblGrid>
        <w:gridCol w:w="1701"/>
        <w:gridCol w:w="5713"/>
      </w:tblGrid>
      <w:tr w:rsidR="00405736" w:rsidRPr="00405736" w:rsidTr="00690FB5">
        <w:trPr>
          <w:cantSplit/>
          <w:tblHeader/>
        </w:trPr>
        <w:tc>
          <w:tcPr>
            <w:tcW w:w="1701" w:type="dxa"/>
            <w:tcBorders>
              <w:right w:val="single" w:sz="4" w:space="0" w:color="FFFFFF" w:themeColor="background1"/>
            </w:tcBorders>
            <w:shd w:val="clear" w:color="auto" w:fill="00BAD4" w:themeFill="text2"/>
          </w:tcPr>
          <w:p w:rsidR="00F301E9" w:rsidRPr="00405736" w:rsidRDefault="00F301E9" w:rsidP="00405736">
            <w:pPr>
              <w:pStyle w:val="TableText"/>
              <w:rPr>
                <w:b/>
                <w:color w:val="FFFFFF" w:themeColor="background1"/>
              </w:rPr>
            </w:pPr>
            <w:r w:rsidRPr="00405736">
              <w:rPr>
                <w:b/>
                <w:color w:val="FFFFFF" w:themeColor="background1"/>
              </w:rPr>
              <w:t xml:space="preserve">Term </w:t>
            </w:r>
          </w:p>
        </w:tc>
        <w:tc>
          <w:tcPr>
            <w:tcW w:w="5713" w:type="dxa"/>
            <w:tcBorders>
              <w:left w:val="single" w:sz="4" w:space="0" w:color="FFFFFF" w:themeColor="background1"/>
              <w:right w:val="single" w:sz="4" w:space="0" w:color="FFFFFF" w:themeColor="background1"/>
            </w:tcBorders>
            <w:shd w:val="clear" w:color="auto" w:fill="00BAD4" w:themeFill="text2"/>
          </w:tcPr>
          <w:p w:rsidR="00F301E9" w:rsidRPr="00405736" w:rsidRDefault="00F301E9" w:rsidP="00405736">
            <w:pPr>
              <w:pStyle w:val="TableText"/>
              <w:rPr>
                <w:b/>
                <w:color w:val="FFFFFF" w:themeColor="background1"/>
              </w:rPr>
            </w:pPr>
            <w:r w:rsidRPr="00405736">
              <w:rPr>
                <w:b/>
                <w:color w:val="FFFFFF" w:themeColor="background1"/>
              </w:rPr>
              <w:t xml:space="preserve">Definition </w:t>
            </w:r>
          </w:p>
        </w:tc>
      </w:tr>
      <w:tr w:rsidR="00F301E9" w:rsidRPr="00405736" w:rsidTr="00690FB5">
        <w:trPr>
          <w:cantSplit/>
          <w:trHeight w:val="335"/>
        </w:trPr>
        <w:tc>
          <w:tcPr>
            <w:tcW w:w="1701" w:type="dxa"/>
            <w:tcBorders>
              <w:bottom w:val="single" w:sz="4" w:space="0" w:color="A6A6A6" w:themeColor="background1" w:themeShade="A6"/>
            </w:tcBorders>
          </w:tcPr>
          <w:p w:rsidR="00F301E9" w:rsidRPr="00405736" w:rsidRDefault="00F301E9" w:rsidP="00405736">
            <w:pPr>
              <w:pStyle w:val="TableText"/>
            </w:pPr>
            <w:r w:rsidRPr="00405736">
              <w:t>Accessibility</w:t>
            </w:r>
          </w:p>
        </w:tc>
        <w:tc>
          <w:tcPr>
            <w:tcW w:w="5713" w:type="dxa"/>
            <w:tcBorders>
              <w:bottom w:val="single" w:sz="4" w:space="0" w:color="A6A6A6" w:themeColor="background1" w:themeShade="A6"/>
            </w:tcBorders>
          </w:tcPr>
          <w:p w:rsidR="00F301E9" w:rsidRPr="00405736" w:rsidRDefault="00F301E9" w:rsidP="00405736">
            <w:pPr>
              <w:pStyle w:val="TableText"/>
            </w:pPr>
            <w:r w:rsidRPr="00405736">
              <w:t>The ability of people to reach desired goods, services, jobs and activities from a particular geographic location</w:t>
            </w:r>
          </w:p>
        </w:tc>
      </w:tr>
      <w:tr w:rsidR="00F301E9" w:rsidRPr="00405736" w:rsidTr="00690FB5">
        <w:trPr>
          <w:cantSplit/>
          <w:trHeight w:val="335"/>
        </w:trPr>
        <w:tc>
          <w:tcPr>
            <w:tcW w:w="1701" w:type="dxa"/>
            <w:tcBorders>
              <w:top w:val="single" w:sz="4" w:space="0" w:color="A6A6A6" w:themeColor="background1" w:themeShade="A6"/>
              <w:bottom w:val="single" w:sz="4" w:space="0" w:color="A6A6A6" w:themeColor="background1" w:themeShade="A6"/>
            </w:tcBorders>
          </w:tcPr>
          <w:p w:rsidR="00F301E9" w:rsidRPr="00405736" w:rsidRDefault="00F301E9" w:rsidP="00405736">
            <w:pPr>
              <w:pStyle w:val="TableText"/>
            </w:pPr>
            <w:r w:rsidRPr="00405736">
              <w:t xml:space="preserve">Agglomeration </w:t>
            </w:r>
          </w:p>
        </w:tc>
        <w:tc>
          <w:tcPr>
            <w:tcW w:w="5713" w:type="dxa"/>
            <w:tcBorders>
              <w:top w:val="single" w:sz="4" w:space="0" w:color="A6A6A6" w:themeColor="background1" w:themeShade="A6"/>
              <w:bottom w:val="single" w:sz="4" w:space="0" w:color="A6A6A6" w:themeColor="background1" w:themeShade="A6"/>
            </w:tcBorders>
          </w:tcPr>
          <w:p w:rsidR="00F301E9" w:rsidRPr="00405736" w:rsidRDefault="00F301E9" w:rsidP="00405736">
            <w:pPr>
              <w:pStyle w:val="TableText"/>
            </w:pPr>
            <w:r w:rsidRPr="00405736">
              <w:t>The ability of businesses to achieve higher productivity through economies of scale and scope. In urban economies, economies of agglomeration are the benefits that firms obtain by locating near each other</w:t>
            </w:r>
            <w:r w:rsidR="00405736">
              <w:t xml:space="preserve"> or in areas that have a high density of economic activity</w:t>
            </w:r>
            <w:r w:rsidRPr="00405736">
              <w:t>.</w:t>
            </w:r>
          </w:p>
        </w:tc>
      </w:tr>
      <w:tr w:rsidR="00F301E9" w:rsidRPr="00405736" w:rsidTr="00690FB5">
        <w:trPr>
          <w:cantSplit/>
          <w:trHeight w:val="335"/>
        </w:trPr>
        <w:tc>
          <w:tcPr>
            <w:tcW w:w="1701" w:type="dxa"/>
            <w:tcBorders>
              <w:top w:val="single" w:sz="4" w:space="0" w:color="A6A6A6" w:themeColor="background1" w:themeShade="A6"/>
              <w:bottom w:val="single" w:sz="4" w:space="0" w:color="A6A6A6" w:themeColor="background1" w:themeShade="A6"/>
            </w:tcBorders>
          </w:tcPr>
          <w:p w:rsidR="00F301E9" w:rsidRPr="00405736" w:rsidRDefault="00F301E9" w:rsidP="00405736">
            <w:pPr>
              <w:pStyle w:val="TableText"/>
            </w:pPr>
            <w:r w:rsidRPr="00405736">
              <w:t>Alignment</w:t>
            </w:r>
          </w:p>
        </w:tc>
        <w:tc>
          <w:tcPr>
            <w:tcW w:w="5713" w:type="dxa"/>
            <w:tcBorders>
              <w:top w:val="single" w:sz="4" w:space="0" w:color="A6A6A6" w:themeColor="background1" w:themeShade="A6"/>
              <w:bottom w:val="single" w:sz="4" w:space="0" w:color="A6A6A6" w:themeColor="background1" w:themeShade="A6"/>
            </w:tcBorders>
          </w:tcPr>
          <w:p w:rsidR="00F301E9" w:rsidRPr="00405736" w:rsidRDefault="00F301E9" w:rsidP="00B53201">
            <w:pPr>
              <w:pStyle w:val="TableText"/>
            </w:pPr>
            <w:r w:rsidRPr="00405736">
              <w:t xml:space="preserve">The </w:t>
            </w:r>
            <w:r w:rsidR="00405736">
              <w:t xml:space="preserve">proposed </w:t>
            </w:r>
            <w:r w:rsidRPr="00405736">
              <w:t xml:space="preserve">linear infrastructure route </w:t>
            </w:r>
            <w:r w:rsidR="00405736">
              <w:t xml:space="preserve">for </w:t>
            </w:r>
            <w:r w:rsidR="002D6B9E">
              <w:t>Melbourne Metro</w:t>
            </w:r>
            <w:r w:rsidR="00405736">
              <w:t xml:space="preserve"> a</w:t>
            </w:r>
            <w:r w:rsidRPr="00405736">
              <w:t xml:space="preserve">s set out in the </w:t>
            </w:r>
            <w:r w:rsidR="00B53201">
              <w:t>Concept Design</w:t>
            </w:r>
            <w:r w:rsidRPr="00405736">
              <w:t>. This includes the vertical and horizontal route</w:t>
            </w:r>
            <w:r w:rsidR="00405736">
              <w:t>.</w:t>
            </w:r>
          </w:p>
        </w:tc>
      </w:tr>
      <w:tr w:rsidR="002D6B9E" w:rsidRPr="00AE7D97" w:rsidTr="00690FB5">
        <w:trPr>
          <w:cantSplit/>
          <w:trHeight w:val="335"/>
        </w:trPr>
        <w:tc>
          <w:tcPr>
            <w:tcW w:w="1701" w:type="dxa"/>
            <w:tcBorders>
              <w:top w:val="single" w:sz="4" w:space="0" w:color="A6A6A6" w:themeColor="background1" w:themeShade="A6"/>
              <w:bottom w:val="single" w:sz="4" w:space="0" w:color="A6A6A6" w:themeColor="background1" w:themeShade="A6"/>
            </w:tcBorders>
          </w:tcPr>
          <w:p w:rsidR="002D6B9E" w:rsidRPr="00F301E9" w:rsidRDefault="002D6B9E" w:rsidP="008706E1">
            <w:pPr>
              <w:pStyle w:val="TableText"/>
            </w:pPr>
            <w:r>
              <w:t xml:space="preserve">Alternative </w:t>
            </w:r>
            <w:r w:rsidR="008706E1">
              <w:t>d</w:t>
            </w:r>
            <w:r>
              <w:t xml:space="preserve">esign </w:t>
            </w:r>
            <w:r w:rsidR="008706E1">
              <w:t>o</w:t>
            </w:r>
            <w:r>
              <w:t>ption</w:t>
            </w:r>
            <w:r w:rsidRPr="00405736">
              <w:t xml:space="preserve"> </w:t>
            </w:r>
          </w:p>
        </w:tc>
        <w:tc>
          <w:tcPr>
            <w:tcW w:w="5713" w:type="dxa"/>
            <w:tcBorders>
              <w:top w:val="single" w:sz="4" w:space="0" w:color="A6A6A6" w:themeColor="background1" w:themeShade="A6"/>
              <w:bottom w:val="single" w:sz="4" w:space="0" w:color="A6A6A6" w:themeColor="background1" w:themeShade="A6"/>
            </w:tcBorders>
          </w:tcPr>
          <w:p w:rsidR="002D6B9E" w:rsidRDefault="002D6B9E" w:rsidP="00405736">
            <w:pPr>
              <w:pStyle w:val="TableText"/>
            </w:pPr>
            <w:r w:rsidRPr="00405736">
              <w:t xml:space="preserve">Potential alternative solutions to the project’s design or route alignment within the proposed </w:t>
            </w:r>
            <w:r>
              <w:t>p</w:t>
            </w:r>
            <w:r w:rsidRPr="00405736">
              <w:t>roject boundary that have been assessed as part of the EES process.</w:t>
            </w:r>
          </w:p>
        </w:tc>
      </w:tr>
      <w:tr w:rsidR="00405736" w:rsidRPr="00AE7D97" w:rsidTr="00690FB5">
        <w:trPr>
          <w:cantSplit/>
          <w:trHeight w:val="335"/>
        </w:trPr>
        <w:tc>
          <w:tcPr>
            <w:tcW w:w="1701" w:type="dxa"/>
            <w:tcBorders>
              <w:top w:val="single" w:sz="4" w:space="0" w:color="A6A6A6" w:themeColor="background1" w:themeShade="A6"/>
              <w:bottom w:val="single" w:sz="4" w:space="0" w:color="A6A6A6" w:themeColor="background1" w:themeShade="A6"/>
            </w:tcBorders>
          </w:tcPr>
          <w:p w:rsidR="00405736" w:rsidRPr="00F301E9" w:rsidRDefault="00405736" w:rsidP="004E4AF3">
            <w:pPr>
              <w:pStyle w:val="TableText"/>
            </w:pPr>
            <w:r w:rsidRPr="00F301E9">
              <w:t>AM peak period</w:t>
            </w:r>
          </w:p>
        </w:tc>
        <w:tc>
          <w:tcPr>
            <w:tcW w:w="571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t xml:space="preserve">Two-hour </w:t>
            </w:r>
            <w:r w:rsidRPr="00F301E9">
              <w:t>period between 7am and 9am</w:t>
            </w:r>
          </w:p>
        </w:tc>
      </w:tr>
      <w:tr w:rsidR="00F301E9"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F301E9" w:rsidRPr="00405736" w:rsidRDefault="00F301E9" w:rsidP="00405736">
            <w:pPr>
              <w:pStyle w:val="TableText"/>
            </w:pPr>
            <w:r w:rsidRPr="00405736">
              <w:t>Amenity</w:t>
            </w:r>
          </w:p>
        </w:tc>
        <w:tc>
          <w:tcPr>
            <w:tcW w:w="5713" w:type="dxa"/>
            <w:tcBorders>
              <w:top w:val="single" w:sz="4" w:space="0" w:color="A6A6A6" w:themeColor="background1" w:themeShade="A6"/>
              <w:bottom w:val="single" w:sz="4" w:space="0" w:color="A6A6A6" w:themeColor="background1" w:themeShade="A6"/>
            </w:tcBorders>
          </w:tcPr>
          <w:p w:rsidR="00F301E9" w:rsidRPr="00405736" w:rsidRDefault="00F301E9" w:rsidP="00405736">
            <w:pPr>
              <w:pStyle w:val="TableText"/>
            </w:pPr>
            <w:r w:rsidRPr="00405736">
              <w:t>Attractiveness or value of a geographic location</w:t>
            </w:r>
          </w:p>
        </w:tc>
      </w:tr>
      <w:tr w:rsidR="00F301E9"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F301E9" w:rsidRPr="00405736" w:rsidRDefault="00F301E9" w:rsidP="00405736">
            <w:pPr>
              <w:pStyle w:val="TableText"/>
            </w:pPr>
            <w:r w:rsidRPr="00405736">
              <w:t>Arterial road</w:t>
            </w:r>
          </w:p>
        </w:tc>
        <w:tc>
          <w:tcPr>
            <w:tcW w:w="5713" w:type="dxa"/>
            <w:tcBorders>
              <w:top w:val="single" w:sz="4" w:space="0" w:color="A6A6A6" w:themeColor="background1" w:themeShade="A6"/>
              <w:bottom w:val="single" w:sz="4" w:space="0" w:color="A6A6A6" w:themeColor="background1" w:themeShade="A6"/>
            </w:tcBorders>
          </w:tcPr>
          <w:p w:rsidR="00F301E9" w:rsidRPr="00405736" w:rsidRDefault="00F301E9" w:rsidP="00405736">
            <w:pPr>
              <w:pStyle w:val="TableText"/>
            </w:pPr>
            <w:r w:rsidRPr="00405736">
              <w:t>High capacity urban road that moves traffic from local roads to highways / freeways</w:t>
            </w:r>
          </w:p>
        </w:tc>
      </w:tr>
      <w:tr w:rsidR="00F301E9"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F301E9" w:rsidRPr="00405736" w:rsidRDefault="00F301E9" w:rsidP="00405736">
            <w:pPr>
              <w:pStyle w:val="TableText"/>
            </w:pPr>
            <w:r w:rsidRPr="00405736">
              <w:t>Aurecon, Jacobs and Mott MacDonald Joint Venture</w:t>
            </w:r>
          </w:p>
        </w:tc>
        <w:tc>
          <w:tcPr>
            <w:tcW w:w="5713" w:type="dxa"/>
            <w:tcBorders>
              <w:top w:val="single" w:sz="4" w:space="0" w:color="A6A6A6" w:themeColor="background1" w:themeShade="A6"/>
              <w:bottom w:val="single" w:sz="4" w:space="0" w:color="A6A6A6" w:themeColor="background1" w:themeShade="A6"/>
            </w:tcBorders>
          </w:tcPr>
          <w:p w:rsidR="00F301E9" w:rsidRPr="00405736" w:rsidRDefault="00F301E9" w:rsidP="004E4AF3">
            <w:pPr>
              <w:pStyle w:val="TableText"/>
            </w:pPr>
            <w:r w:rsidRPr="00405736">
              <w:t xml:space="preserve">The contracted entity </w:t>
            </w:r>
            <w:r w:rsidR="004E4AF3">
              <w:t xml:space="preserve">that is providing </w:t>
            </w:r>
            <w:r w:rsidRPr="00405736">
              <w:t xml:space="preserve">the Technical, Planning and Engagement Advisory Services for </w:t>
            </w:r>
            <w:r w:rsidR="002D6B9E">
              <w:t>Melbourne Metro</w:t>
            </w:r>
          </w:p>
        </w:tc>
      </w:tr>
      <w:tr w:rsidR="00F301E9"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F301E9" w:rsidRPr="00405736" w:rsidRDefault="00F301E9" w:rsidP="00405736">
            <w:pPr>
              <w:pStyle w:val="TableText"/>
            </w:pPr>
            <w:r w:rsidRPr="00405736">
              <w:t>Benefits</w:t>
            </w:r>
          </w:p>
        </w:tc>
        <w:tc>
          <w:tcPr>
            <w:tcW w:w="5713" w:type="dxa"/>
            <w:tcBorders>
              <w:top w:val="single" w:sz="4" w:space="0" w:color="A6A6A6" w:themeColor="background1" w:themeShade="A6"/>
              <w:bottom w:val="single" w:sz="4" w:space="0" w:color="A6A6A6" w:themeColor="background1" w:themeShade="A6"/>
            </w:tcBorders>
          </w:tcPr>
          <w:p w:rsidR="00F301E9" w:rsidRPr="00405736" w:rsidRDefault="00F301E9" w:rsidP="004E4AF3">
            <w:pPr>
              <w:pStyle w:val="TableText"/>
            </w:pPr>
            <w:r w:rsidRPr="00405736">
              <w:t xml:space="preserve">Benefits or improvements that can be attributed directly to some aspect of the </w:t>
            </w:r>
            <w:r w:rsidR="004E4AF3">
              <w:t>p</w:t>
            </w:r>
            <w:r w:rsidRPr="00405736">
              <w:t>roject’s des</w:t>
            </w:r>
            <w:r w:rsidR="004E4AF3">
              <w:t>ign, construction and operation</w:t>
            </w:r>
          </w:p>
        </w:tc>
      </w:tr>
      <w:tr w:rsidR="004E4AF3"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4E4AF3" w:rsidRPr="00405736" w:rsidRDefault="004E4AF3" w:rsidP="00405736">
            <w:pPr>
              <w:pStyle w:val="TableText"/>
            </w:pPr>
            <w:r>
              <w:t>Burnley Group</w:t>
            </w:r>
          </w:p>
        </w:tc>
        <w:tc>
          <w:tcPr>
            <w:tcW w:w="5713" w:type="dxa"/>
            <w:tcBorders>
              <w:top w:val="single" w:sz="4" w:space="0" w:color="A6A6A6" w:themeColor="background1" w:themeShade="A6"/>
              <w:bottom w:val="single" w:sz="4" w:space="0" w:color="A6A6A6" w:themeColor="background1" w:themeShade="A6"/>
            </w:tcBorders>
          </w:tcPr>
          <w:p w:rsidR="004E4AF3" w:rsidRPr="00405736" w:rsidRDefault="004E4AF3" w:rsidP="004E4AF3">
            <w:pPr>
              <w:pStyle w:val="TableText"/>
            </w:pPr>
            <w:r w:rsidRPr="004E4AF3">
              <w:t>The Belgrave, Lilydale and Alamein Lines, operating via the Burnley Loop</w:t>
            </w:r>
          </w:p>
        </w:tc>
      </w:tr>
      <w:tr w:rsidR="004E4AF3"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4E4AF3" w:rsidRDefault="004E4AF3" w:rsidP="004E4AF3">
            <w:pPr>
              <w:pStyle w:val="TableText"/>
            </w:pPr>
            <w:r>
              <w:t xml:space="preserve">Caulfield Group </w:t>
            </w:r>
          </w:p>
        </w:tc>
        <w:tc>
          <w:tcPr>
            <w:tcW w:w="5713" w:type="dxa"/>
            <w:tcBorders>
              <w:top w:val="single" w:sz="4" w:space="0" w:color="A6A6A6" w:themeColor="background1" w:themeShade="A6"/>
              <w:bottom w:val="single" w:sz="4" w:space="0" w:color="A6A6A6" w:themeColor="background1" w:themeShade="A6"/>
            </w:tcBorders>
          </w:tcPr>
          <w:p w:rsidR="004E4AF3" w:rsidRPr="004E4AF3" w:rsidRDefault="004E4AF3" w:rsidP="004E4AF3">
            <w:pPr>
              <w:pStyle w:val="TableText"/>
            </w:pPr>
            <w:r w:rsidRPr="004E4AF3">
              <w:t xml:space="preserve">The Cranbourne and Pakenham Lines and (dependent </w:t>
            </w:r>
            <w:r>
              <w:t xml:space="preserve">on the </w:t>
            </w:r>
            <w:r w:rsidRPr="004E4AF3">
              <w:t xml:space="preserve"> constitution of</w:t>
            </w:r>
            <w:r>
              <w:t xml:space="preserve"> the </w:t>
            </w:r>
            <w:r w:rsidRPr="004E4AF3">
              <w:t xml:space="preserve">Cross-City Group) </w:t>
            </w:r>
            <w:r>
              <w:t xml:space="preserve">the </w:t>
            </w:r>
            <w:r w:rsidRPr="004E4AF3">
              <w:t>Frankston and Sandringham Lines</w:t>
            </w:r>
          </w:p>
        </w:tc>
      </w:tr>
      <w:tr w:rsidR="00F301E9"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F301E9" w:rsidRPr="00405736" w:rsidRDefault="00F301E9" w:rsidP="00405736">
            <w:pPr>
              <w:pStyle w:val="TableText"/>
            </w:pPr>
            <w:r w:rsidRPr="00405736">
              <w:t>Cavern</w:t>
            </w:r>
          </w:p>
        </w:tc>
        <w:tc>
          <w:tcPr>
            <w:tcW w:w="5713" w:type="dxa"/>
            <w:tcBorders>
              <w:top w:val="single" w:sz="4" w:space="0" w:color="A6A6A6" w:themeColor="background1" w:themeShade="A6"/>
              <w:bottom w:val="single" w:sz="4" w:space="0" w:color="A6A6A6" w:themeColor="background1" w:themeShade="A6"/>
            </w:tcBorders>
          </w:tcPr>
          <w:p w:rsidR="00F301E9" w:rsidRPr="00405736" w:rsidRDefault="00F301E9" w:rsidP="00340F11">
            <w:pPr>
              <w:pStyle w:val="TableText"/>
            </w:pPr>
            <w:r w:rsidRPr="00405736">
              <w:t>Caverns are excavated using the heading and bench method. This is a sequential technique, whereby the upper section is excavated first, followed by the middle section (bench) and finally the invert. Roadheaders (which have a boom</w:t>
            </w:r>
            <w:r w:rsidR="00340F11">
              <w:t>-</w:t>
            </w:r>
            <w:r w:rsidRPr="00405736">
              <w:t>mounted cutting head mounted on a crawler travelling track) are used as the primary excavation equipment.</w:t>
            </w:r>
          </w:p>
        </w:tc>
      </w:tr>
      <w:tr w:rsidR="004E4AF3"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4E4AF3" w:rsidRPr="00405736" w:rsidRDefault="004E4AF3" w:rsidP="004E4AF3">
            <w:pPr>
              <w:pStyle w:val="TableText"/>
            </w:pPr>
            <w:r>
              <w:t>CBD</w:t>
            </w:r>
          </w:p>
        </w:tc>
        <w:tc>
          <w:tcPr>
            <w:tcW w:w="5713" w:type="dxa"/>
            <w:tcBorders>
              <w:top w:val="single" w:sz="4" w:space="0" w:color="A6A6A6" w:themeColor="background1" w:themeShade="A6"/>
              <w:bottom w:val="single" w:sz="4" w:space="0" w:color="A6A6A6" w:themeColor="background1" w:themeShade="A6"/>
            </w:tcBorders>
          </w:tcPr>
          <w:p w:rsidR="004E4AF3" w:rsidRPr="00405736" w:rsidRDefault="004E4AF3" w:rsidP="004E4AF3">
            <w:pPr>
              <w:pStyle w:val="TableText"/>
            </w:pPr>
            <w:r>
              <w:t>The Central Business District of Melbourne, which is bordered by Spencer Street to the west, La Trobe Street to the north, Spring Street to the east and Flinders Street to the south</w:t>
            </w:r>
          </w:p>
        </w:tc>
      </w:tr>
      <w:tr w:rsidR="00F301E9"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F301E9" w:rsidRPr="00405736" w:rsidRDefault="00F301E9" w:rsidP="004E4AF3">
            <w:pPr>
              <w:pStyle w:val="TableText"/>
            </w:pPr>
            <w:r w:rsidRPr="00405736">
              <w:t>Central Melbourne</w:t>
            </w:r>
          </w:p>
        </w:tc>
        <w:tc>
          <w:tcPr>
            <w:tcW w:w="5713" w:type="dxa"/>
            <w:tcBorders>
              <w:top w:val="single" w:sz="4" w:space="0" w:color="A6A6A6" w:themeColor="background1" w:themeShade="A6"/>
              <w:bottom w:val="single" w:sz="4" w:space="0" w:color="A6A6A6" w:themeColor="background1" w:themeShade="A6"/>
            </w:tcBorders>
          </w:tcPr>
          <w:p w:rsidR="00F301E9" w:rsidRPr="00405736" w:rsidRDefault="004E4AF3" w:rsidP="004E4AF3">
            <w:pPr>
              <w:pStyle w:val="TableText"/>
            </w:pPr>
            <w:r>
              <w:rPr>
                <w:rFonts w:cs="Arial"/>
                <w:color w:val="221E1F"/>
                <w:szCs w:val="18"/>
              </w:rPr>
              <w:t>The area that includes the CBD, Fishermans Bend, Docklands, Southbank, St Kilda Road, Parkville and the Arden-Macaulay urban renewal precinct</w:t>
            </w:r>
          </w:p>
        </w:tc>
      </w:tr>
      <w:tr w:rsidR="004E4AF3"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4E4AF3" w:rsidRPr="00405736" w:rsidRDefault="004E4AF3" w:rsidP="008706E1">
            <w:pPr>
              <w:pStyle w:val="TableText"/>
            </w:pPr>
            <w:r>
              <w:t xml:space="preserve">City </w:t>
            </w:r>
            <w:r w:rsidR="008706E1">
              <w:t>c</w:t>
            </w:r>
            <w:r>
              <w:t>ordon</w:t>
            </w:r>
          </w:p>
        </w:tc>
        <w:tc>
          <w:tcPr>
            <w:tcW w:w="5713" w:type="dxa"/>
            <w:tcBorders>
              <w:top w:val="single" w:sz="4" w:space="0" w:color="A6A6A6" w:themeColor="background1" w:themeShade="A6"/>
              <w:bottom w:val="single" w:sz="4" w:space="0" w:color="A6A6A6" w:themeColor="background1" w:themeShade="A6"/>
            </w:tcBorders>
          </w:tcPr>
          <w:p w:rsidR="004E4AF3" w:rsidRDefault="004E4AF3" w:rsidP="008706E1">
            <w:pPr>
              <w:pStyle w:val="TableText"/>
              <w:rPr>
                <w:rFonts w:cs="Arial"/>
                <w:color w:val="221E1F"/>
                <w:szCs w:val="18"/>
              </w:rPr>
            </w:pPr>
            <w:r w:rsidRPr="004E4AF3">
              <w:rPr>
                <w:rFonts w:cs="Arial"/>
                <w:color w:val="221E1F"/>
                <w:szCs w:val="18"/>
              </w:rPr>
              <w:t xml:space="preserve">The stations immediately prior to the City Loop on the existing network: currently Richmond, North Melbourne and Jolimont. Once </w:t>
            </w:r>
            <w:r w:rsidR="002D6B9E">
              <w:rPr>
                <w:rFonts w:cs="Arial"/>
                <w:color w:val="221E1F"/>
                <w:szCs w:val="18"/>
              </w:rPr>
              <w:t>Melbourne Metro</w:t>
            </w:r>
            <w:r w:rsidRPr="004E4AF3">
              <w:rPr>
                <w:rFonts w:cs="Arial"/>
                <w:color w:val="221E1F"/>
                <w:szCs w:val="18"/>
              </w:rPr>
              <w:t xml:space="preserve"> is operational, the Cranbourne/Pakenham Line cordon would be measured at Domain</w:t>
            </w:r>
            <w:r>
              <w:rPr>
                <w:rFonts w:cs="Arial"/>
                <w:color w:val="221E1F"/>
                <w:szCs w:val="18"/>
              </w:rPr>
              <w:t xml:space="preserve"> station and the Sunbury Line cordon at Parkville station</w:t>
            </w:r>
            <w:r w:rsidR="00402348">
              <w:rPr>
                <w:rFonts w:cs="Arial"/>
                <w:color w:val="221E1F"/>
                <w:szCs w:val="18"/>
              </w:rPr>
              <w:t>.</w:t>
            </w:r>
          </w:p>
        </w:tc>
      </w:tr>
      <w:tr w:rsidR="004E4AF3"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4E4AF3" w:rsidRDefault="004E4AF3" w:rsidP="004E4AF3">
            <w:pPr>
              <w:pStyle w:val="TableText"/>
            </w:pPr>
            <w:r>
              <w:lastRenderedPageBreak/>
              <w:t>City Loop</w:t>
            </w:r>
          </w:p>
        </w:tc>
        <w:tc>
          <w:tcPr>
            <w:tcW w:w="5713" w:type="dxa"/>
            <w:tcBorders>
              <w:top w:val="single" w:sz="4" w:space="0" w:color="A6A6A6" w:themeColor="background1" w:themeShade="A6"/>
              <w:bottom w:val="single" w:sz="4" w:space="0" w:color="A6A6A6" w:themeColor="background1" w:themeShade="A6"/>
            </w:tcBorders>
          </w:tcPr>
          <w:p w:rsidR="004E4AF3" w:rsidRPr="004E4AF3" w:rsidRDefault="004E4AF3" w:rsidP="004E4AF3">
            <w:pPr>
              <w:pStyle w:val="TableText"/>
            </w:pPr>
            <w:r w:rsidRPr="004E4AF3">
              <w:t>Also known as the Melbourne Underground Rail Loop (MURL). Comprises</w:t>
            </w:r>
            <w:r>
              <w:t xml:space="preserve"> </w:t>
            </w:r>
            <w:r w:rsidRPr="004E4AF3">
              <w:t>four single track tunnels for each of the four metropolitan rail groups</w:t>
            </w:r>
            <w:r>
              <w:t xml:space="preserve"> </w:t>
            </w:r>
            <w:r w:rsidRPr="004E4AF3">
              <w:t>(Caulfield, Northern, Burnley and Clifton Hill). Trains operate in either direction</w:t>
            </w:r>
            <w:r>
              <w:t xml:space="preserve"> </w:t>
            </w:r>
            <w:r w:rsidRPr="004E4AF3">
              <w:t>through thee underground stations</w:t>
            </w:r>
            <w:r>
              <w:t xml:space="preserve">: </w:t>
            </w:r>
            <w:r w:rsidRPr="004E4AF3">
              <w:t>Parliament, Melbourne Central and</w:t>
            </w:r>
            <w:r>
              <w:t xml:space="preserve"> </w:t>
            </w:r>
            <w:r w:rsidRPr="004E4AF3">
              <w:t>Flagstaff. The tunnels connect to Flinders Street and Southern Cross Stations</w:t>
            </w:r>
            <w:r>
              <w:t xml:space="preserve"> </w:t>
            </w:r>
            <w:r w:rsidRPr="004E4AF3">
              <w:t>over the Flinders Street Viaduct to form the ‘loop’</w:t>
            </w:r>
            <w:r>
              <w:t>.</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Commissioning</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 xml:space="preserve">Final project stage that involves full testing of a system or systems </w:t>
            </w:r>
            <w:r w:rsidR="008706E1">
              <w:t xml:space="preserve">before </w:t>
            </w:r>
            <w:r w:rsidRPr="00405736">
              <w:t>bringing them into use</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Concept Design</w:t>
            </w:r>
          </w:p>
        </w:tc>
        <w:tc>
          <w:tcPr>
            <w:tcW w:w="5713" w:type="dxa"/>
            <w:tcBorders>
              <w:top w:val="single" w:sz="4" w:space="0" w:color="A6A6A6" w:themeColor="background1" w:themeShade="A6"/>
              <w:bottom w:val="single" w:sz="4" w:space="0" w:color="A6A6A6" w:themeColor="background1" w:themeShade="A6"/>
            </w:tcBorders>
          </w:tcPr>
          <w:p w:rsidR="001E533C" w:rsidRDefault="001E533C" w:rsidP="00405736">
            <w:pPr>
              <w:pStyle w:val="TableText"/>
            </w:pPr>
            <w:r w:rsidRPr="00405736">
              <w:t xml:space="preserve">A comprehensive design proposal for constructing and operating the proposed </w:t>
            </w:r>
            <w:r>
              <w:t>project</w:t>
            </w:r>
            <w:r w:rsidRPr="00405736">
              <w:t xml:space="preserve">, used for assessment purposes. The Concept Design is not the final, detailed design for the </w:t>
            </w:r>
            <w:r>
              <w:t>project</w:t>
            </w:r>
            <w:r w:rsidRPr="00405736">
              <w:t xml:space="preserve">. The design could be refined further within the approved Project Area (see below) by the parties who are contracted by the State to develop </w:t>
            </w:r>
            <w:r>
              <w:t>Melbourne Metro</w:t>
            </w:r>
            <w:r w:rsidRPr="00405736">
              <w:t>, provided the final design meet</w:t>
            </w:r>
            <w:r w:rsidR="008706E1">
              <w:t>s</w:t>
            </w:r>
            <w:r w:rsidRPr="00405736">
              <w:t xml:space="preserve"> the approved </w:t>
            </w:r>
            <w:r>
              <w:t>project</w:t>
            </w:r>
            <w:r w:rsidRPr="00405736">
              <w:t xml:space="preserve"> objectives and the recommended Environmental Performance Requirements.</w:t>
            </w:r>
          </w:p>
          <w:p w:rsidR="001E533C" w:rsidRPr="00405736" w:rsidRDefault="001E533C" w:rsidP="008706E1">
            <w:pPr>
              <w:pStyle w:val="TableText"/>
            </w:pPr>
            <w:r w:rsidRPr="00405736">
              <w:t xml:space="preserve">The </w:t>
            </w:r>
            <w:r>
              <w:t xml:space="preserve">Concept Design </w:t>
            </w:r>
            <w:r w:rsidRPr="00405736">
              <w:t xml:space="preserve">demonstrates a technically feasible way for the </w:t>
            </w:r>
            <w:r>
              <w:t>project</w:t>
            </w:r>
            <w:r w:rsidRPr="00405736">
              <w:t xml:space="preserve"> to achieve the Victorian Government’s objectives and meet the Environmental Performance Requirements for </w:t>
            </w:r>
            <w:r>
              <w:t>Melbourne Metro</w:t>
            </w:r>
            <w:r w:rsidRPr="00405736">
              <w:t>. It has negotiable and non-negotiable components. Non-negotiable items include station locations and station entrance locations.</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Connectivity</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The ability to have several points of transport ingress or egress to a location. Good connectivity means having a number of options to get to a destination.</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Construction contractor</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 xml:space="preserve">The private party or parties engaged by the State to design, construct, operate and maintain the </w:t>
            </w:r>
            <w:r>
              <w:t>project</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t xml:space="preserve">Construction </w:t>
            </w:r>
            <w:r w:rsidRPr="00405736">
              <w:t>Environmental Management Plan (</w:t>
            </w:r>
            <w:r>
              <w:t>C</w:t>
            </w:r>
            <w:r w:rsidRPr="00405736">
              <w:t>EMP)</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 xml:space="preserve">A plan that sets out detailed processes and actions to meet the Environmental Performance Requirements. </w:t>
            </w:r>
            <w:r>
              <w:t>C</w:t>
            </w:r>
            <w:r w:rsidRPr="00405736">
              <w:t>EMPs are generally prepared for the construction and operation phases of a project</w:t>
            </w:r>
            <w:r w:rsidR="00402348">
              <w:t>.</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Construction footprint</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 xml:space="preserve">Includes areas required for the location of permeant structures and areas required for construction works and activities. The construction footprint is contained within the proposed </w:t>
            </w:r>
            <w:r>
              <w:t>project</w:t>
            </w:r>
            <w:r w:rsidRPr="00405736">
              <w:t xml:space="preserve"> boundary.</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t>Cross-City Group</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E4AF3">
            <w:pPr>
              <w:pStyle w:val="TableText"/>
            </w:pPr>
            <w:r>
              <w:t>Currently consists of the Werribee, Williamstown and Frankston Lines. Once Melbourne Metro is operational, this group would comprise the Werribee, Williamstown and Sandringham Lines. This group would operate via Flinders Street and Southern Cross Stations</w:t>
            </w:r>
            <w:r w:rsidR="00402348">
              <w:t>.</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Cross passages</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Transverse tunnels connecting main running tunnels</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Crossover</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Two turnouts arranged to connect two adjacent tracks</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Cut and cover</w:t>
            </w:r>
            <w:r>
              <w:t xml:space="preserve"> construction</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A large cut and cover box is a common construction technique for underground railway stations. Cut and cover construction can be conducted through a top-down or bottom-up configuration.</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t>Dandenong Group</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E4AF3">
            <w:pPr>
              <w:pStyle w:val="TableText"/>
            </w:pPr>
            <w:r w:rsidRPr="004E4AF3">
              <w:t>The Pakenham and Cranbourne Lines, operating via the City Loop</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Decline structure</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The approach structure to the portal (tunnel entrance)</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Design and Development Overlay (DDO)</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2D6B9E">
            <w:pPr>
              <w:pStyle w:val="TableText"/>
            </w:pPr>
            <w:r w:rsidRPr="00405736">
              <w:t xml:space="preserve">An overlay to a local planning scheme to protect activities or structures from inappropriate or incompatible development. A new DDO would be applied to identify and protect the </w:t>
            </w:r>
            <w:r>
              <w:t>Melbourne Metro</w:t>
            </w:r>
            <w:r w:rsidRPr="00405736">
              <w:t xml:space="preserve"> tunnels, stations and associated infrastructure from future development that could potentially affect its capacity to operate in the Melbourne, Port Phillip and Stonnington Planning Schemes.</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lastRenderedPageBreak/>
              <w:t>Draft evaluation objectives</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Evaluation objectives included within the Scoping Requirements (see below) that set out the key matters to be investigated for the EES</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t>Dwell time</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E4AF3">
            <w:pPr>
              <w:pStyle w:val="TableText"/>
            </w:pPr>
            <w:r w:rsidRPr="004E4AF3">
              <w:t xml:space="preserve">The length of time </w:t>
            </w:r>
            <w:r>
              <w:t xml:space="preserve">a </w:t>
            </w:r>
            <w:r w:rsidRPr="004E4AF3">
              <w:t>train is stopped at the platform with doors open</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Early works</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Works undertaken prior to the main construction contract commencing</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2D6B9E">
            <w:pPr>
              <w:pStyle w:val="TableText"/>
            </w:pPr>
            <w:r w:rsidRPr="00405736">
              <w:t xml:space="preserve">Eastern </w:t>
            </w:r>
            <w:r>
              <w:t>p</w:t>
            </w:r>
            <w:r w:rsidRPr="00405736">
              <w:t>ortal</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2348">
            <w:pPr>
              <w:pStyle w:val="TableText"/>
            </w:pPr>
            <w:r w:rsidRPr="00405736">
              <w:t>Term used to describe the section between the tie-in to the Dandenong Line and the service facility/TBM retrieval box in the South Yarra area</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Enabling works</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2D6B9E">
            <w:pPr>
              <w:pStyle w:val="TableText"/>
            </w:pPr>
            <w:r w:rsidRPr="00405736">
              <w:t xml:space="preserve">Works undertaken before completion of the EES process to enable the delivery of the </w:t>
            </w:r>
            <w:r>
              <w:t>Melbourne Metro</w:t>
            </w:r>
            <w:r w:rsidRPr="00405736">
              <w:t xml:space="preserve"> in a timely manner and to minimise disruption to businesses, residents and visitors to the Melbourne CBD. These works do not form part of the declared ‘public works’ under the </w:t>
            </w:r>
            <w:r w:rsidRPr="004E4AF3">
              <w:rPr>
                <w:i/>
              </w:rPr>
              <w:t>Environment Effects Act 1978</w:t>
            </w:r>
            <w:r w:rsidR="00402348">
              <w:rPr>
                <w:i/>
              </w:rPr>
              <w:t>.</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Emergency access shaft</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A vertical opening to grant access to the tunnels for emergency services personnel. Shafts are spaced at appropriate intervals to meet safety requirements</w:t>
            </w:r>
            <w:r w:rsidR="00402348">
              <w:t>.</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2D7DF0">
            <w:pPr>
              <w:pStyle w:val="TableText"/>
            </w:pPr>
            <w:r w:rsidRPr="00405736">
              <w:t>Environment Effects Statement (EES)</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2348">
            <w:pPr>
              <w:pStyle w:val="TableText"/>
            </w:pPr>
            <w:r w:rsidRPr="00405736">
              <w:t xml:space="preserve">A statement prepared under Victoria’s </w:t>
            </w:r>
            <w:r w:rsidRPr="00690FB5">
              <w:rPr>
                <w:i/>
              </w:rPr>
              <w:t>Environment Effects Act 1978</w:t>
            </w:r>
            <w:r w:rsidRPr="00405736">
              <w:t xml:space="preserve"> that assesses projects with the potential to have a significant effect on the environment. On </w:t>
            </w:r>
            <w:r w:rsidR="00402348">
              <w:t>3</w:t>
            </w:r>
            <w:r w:rsidRPr="00405736">
              <w:t xml:space="preserve"> September 2015, the Minister for Planning determined that the works proposed to be undertaken for </w:t>
            </w:r>
            <w:r>
              <w:t>Melbourne Metro</w:t>
            </w:r>
            <w:r w:rsidRPr="00405736">
              <w:t xml:space="preserve"> could reasonably be considered to be capable of having a significant effect on the environment and that the MMRA, as the </w:t>
            </w:r>
            <w:r>
              <w:t>project</w:t>
            </w:r>
            <w:r w:rsidRPr="00405736">
              <w:t xml:space="preserve"> proponent, must prepare an EES to allow the Minister to assess the environmental effects of the works.</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Environmental Management Framework (EMF)</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2D6B9E">
            <w:pPr>
              <w:pStyle w:val="TableText"/>
            </w:pPr>
            <w:r w:rsidRPr="00405736">
              <w:t xml:space="preserve">Documents that include verifiable commitments on how environmental impacts would be managed, minimised or avoided during construction and operation of the </w:t>
            </w:r>
            <w:r>
              <w:t>project</w:t>
            </w:r>
            <w:r w:rsidRPr="00405736">
              <w:t xml:space="preserve">. The framework provides the basis for placing clear obligations on the constructor(s) delivering the </w:t>
            </w:r>
            <w:r>
              <w:t>p</w:t>
            </w:r>
            <w:r w:rsidRPr="00405736">
              <w:t>roject.</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Environmental Management System (EMS)</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2348">
            <w:pPr>
              <w:pStyle w:val="TableText"/>
            </w:pPr>
            <w:r w:rsidRPr="00405736">
              <w:t xml:space="preserve">A document prepared by the contractor(s) that provides an overview of environmental management during the construction and operation phases of the </w:t>
            </w:r>
            <w:r>
              <w:t>project</w:t>
            </w:r>
            <w:r w:rsidRPr="00405736">
              <w:t>. The EMS is an overarching document from which the more specific EMPs are developed. The EMS ensures that commitments for environmental protection and management (as set out in the EES and required by approvals) are met.</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Environmental Performance Requirements (EPRs)</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 xml:space="preserve">A set of environmental outcomes the </w:t>
            </w:r>
            <w:r>
              <w:t>project</w:t>
            </w:r>
            <w:r w:rsidRPr="00405736">
              <w:t xml:space="preserve"> must achieve during its design, construction and operation. The </w:t>
            </w:r>
            <w:r>
              <w:t>project</w:t>
            </w:r>
            <w:r w:rsidRPr="00405736">
              <w:t xml:space="preserve"> would be delivered in accordance with performance requirements developed through the EES assessment process. This performance-based approach aims to achieve acceptable outcomes for the community and environment, while allowing for a delivery model with sufficient flexibility to encourage innovation by the private sector.</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t>Gross Domestic Product</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E4AF3">
            <w:pPr>
              <w:pStyle w:val="TableText"/>
            </w:pPr>
            <w:r w:rsidRPr="004E4AF3">
              <w:t>The market value of all final goods and services</w:t>
            </w:r>
            <w:r>
              <w:t xml:space="preserve"> </w:t>
            </w:r>
            <w:r w:rsidRPr="004E4AF3">
              <w:t>produced nationally in Australia in a given period</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Default="001E533C" w:rsidP="004E4AF3">
            <w:pPr>
              <w:pStyle w:val="TableText"/>
            </w:pPr>
            <w:r>
              <w:t>Gross State Product</w:t>
            </w:r>
          </w:p>
        </w:tc>
        <w:tc>
          <w:tcPr>
            <w:tcW w:w="5713" w:type="dxa"/>
            <w:tcBorders>
              <w:top w:val="single" w:sz="4" w:space="0" w:color="A6A6A6" w:themeColor="background1" w:themeShade="A6"/>
              <w:bottom w:val="single" w:sz="4" w:space="0" w:color="A6A6A6" w:themeColor="background1" w:themeShade="A6"/>
            </w:tcBorders>
          </w:tcPr>
          <w:p w:rsidR="001E533C" w:rsidRPr="004E4AF3" w:rsidRDefault="001E533C" w:rsidP="004E4AF3">
            <w:pPr>
              <w:pStyle w:val="TableText"/>
            </w:pPr>
            <w:r>
              <w:t>The market value of all final goods and services produced within a state or territory in a given period</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t>Gross Value Added</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E4AF3">
            <w:pPr>
              <w:pStyle w:val="TableText"/>
            </w:pPr>
            <w:r>
              <w:rPr>
                <w:lang w:val="en-GB"/>
              </w:rPr>
              <w:t>M</w:t>
            </w:r>
            <w:r w:rsidRPr="004E4AF3">
              <w:rPr>
                <w:lang w:val="en-GB"/>
              </w:rPr>
              <w:t xml:space="preserve">easure of the value </w:t>
            </w:r>
            <w:r>
              <w:rPr>
                <w:lang w:val="en-GB"/>
              </w:rPr>
              <w:t>of goods and services produ</w:t>
            </w:r>
            <w:r w:rsidRPr="004E4AF3">
              <w:rPr>
                <w:lang w:val="en-GB"/>
              </w:rPr>
              <w:t>ced in an area, industry or sector of the</w:t>
            </w:r>
            <w:r>
              <w:rPr>
                <w:lang w:val="en-GB"/>
              </w:rPr>
              <w:t xml:space="preserve"> economy</w:t>
            </w:r>
          </w:p>
        </w:tc>
      </w:tr>
      <w:tr w:rsidR="009F30A3"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9F30A3" w:rsidRDefault="009F30A3" w:rsidP="001667C0">
            <w:pPr>
              <w:pStyle w:val="TableText"/>
            </w:pPr>
            <w:r>
              <w:t>High Capacity Metro Train</w:t>
            </w:r>
          </w:p>
        </w:tc>
        <w:tc>
          <w:tcPr>
            <w:tcW w:w="5713" w:type="dxa"/>
            <w:tcBorders>
              <w:top w:val="single" w:sz="4" w:space="0" w:color="A6A6A6" w:themeColor="background1" w:themeShade="A6"/>
              <w:bottom w:val="single" w:sz="4" w:space="0" w:color="A6A6A6" w:themeColor="background1" w:themeShade="A6"/>
            </w:tcBorders>
          </w:tcPr>
          <w:p w:rsidR="009F30A3" w:rsidRDefault="009F30A3" w:rsidP="009F30A3">
            <w:pPr>
              <w:pStyle w:val="TableText"/>
              <w:rPr>
                <w:lang w:val="en-GB"/>
              </w:rPr>
            </w:pPr>
            <w:r>
              <w:rPr>
                <w:lang w:val="en-GB"/>
              </w:rPr>
              <w:t>Trains</w:t>
            </w:r>
            <w:r w:rsidRPr="009F30A3">
              <w:rPr>
                <w:lang w:val="en-GB"/>
              </w:rPr>
              <w:t xml:space="preserve"> that are longer, can carry more passengers and are designed to minimise boarding and alighting times</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Default="001E533C" w:rsidP="001667C0">
            <w:pPr>
              <w:pStyle w:val="TableText"/>
            </w:pPr>
            <w:r>
              <w:lastRenderedPageBreak/>
              <w:t>Immersed tube tunnel</w:t>
            </w:r>
          </w:p>
        </w:tc>
        <w:tc>
          <w:tcPr>
            <w:tcW w:w="5713" w:type="dxa"/>
            <w:tcBorders>
              <w:top w:val="single" w:sz="4" w:space="0" w:color="A6A6A6" w:themeColor="background1" w:themeShade="A6"/>
              <w:bottom w:val="single" w:sz="4" w:space="0" w:color="A6A6A6" w:themeColor="background1" w:themeShade="A6"/>
            </w:tcBorders>
          </w:tcPr>
          <w:p w:rsidR="001E533C" w:rsidRPr="001667C0" w:rsidRDefault="001E533C" w:rsidP="001667C0">
            <w:pPr>
              <w:pStyle w:val="TableText"/>
              <w:rPr>
                <w:lang w:val="en-GB"/>
              </w:rPr>
            </w:pPr>
            <w:r>
              <w:rPr>
                <w:lang w:val="en-GB"/>
              </w:rPr>
              <w:t>A</w:t>
            </w:r>
            <w:r w:rsidRPr="001667C0">
              <w:rPr>
                <w:lang w:val="en-GB"/>
              </w:rPr>
              <w:t xml:space="preserve"> tunnel construction method commonly used for crossing a body of shallow water.</w:t>
            </w:r>
            <w:r>
              <w:t xml:space="preserve"> A </w:t>
            </w:r>
            <w:r w:rsidRPr="001667C0">
              <w:rPr>
                <w:lang w:val="en-GB"/>
              </w:rPr>
              <w:t xml:space="preserve">trench is dredged and prefabricated steel or concrete elements floated to the tunnel site and sunk into place inside the trench. </w:t>
            </w:r>
            <w:r>
              <w:rPr>
                <w:lang w:val="en-GB"/>
              </w:rPr>
              <w:t>W</w:t>
            </w:r>
            <w:r w:rsidRPr="001667C0">
              <w:rPr>
                <w:lang w:val="en-GB"/>
              </w:rPr>
              <w:t>ater is then pumped out from inside the e</w:t>
            </w:r>
            <w:r>
              <w:rPr>
                <w:lang w:val="en-GB"/>
              </w:rPr>
              <w:t>lements. The elements are then</w:t>
            </w:r>
            <w:r w:rsidRPr="001667C0">
              <w:rPr>
                <w:lang w:val="en-GB"/>
              </w:rPr>
              <w:t xml:space="preserve"> </w:t>
            </w:r>
            <w:r>
              <w:rPr>
                <w:lang w:val="en-GB"/>
              </w:rPr>
              <w:t xml:space="preserve">linked together and </w:t>
            </w:r>
            <w:r w:rsidRPr="001667C0">
              <w:rPr>
                <w:lang w:val="en-GB"/>
              </w:rPr>
              <w:t>sealed to</w:t>
            </w:r>
            <w:r>
              <w:rPr>
                <w:lang w:val="en-GB"/>
              </w:rPr>
              <w:t xml:space="preserve"> form </w:t>
            </w:r>
            <w:r w:rsidRPr="001667C0">
              <w:rPr>
                <w:lang w:val="en-GB"/>
              </w:rPr>
              <w:t xml:space="preserve">a watertight tunnel. </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Infrastructure</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Basic facilities and networks needed for the functioning of a local community or broader society</w:t>
            </w:r>
          </w:p>
        </w:tc>
      </w:tr>
      <w:tr w:rsidR="001E533C" w:rsidRPr="00405736" w:rsidTr="00690FB5">
        <w:trPr>
          <w:trHeight w:val="70"/>
        </w:trPr>
        <w:tc>
          <w:tcPr>
            <w:tcW w:w="1701" w:type="dxa"/>
            <w:tcBorders>
              <w:top w:val="single" w:sz="4" w:space="0" w:color="A6A6A6" w:themeColor="background1" w:themeShade="A6"/>
              <w:bottom w:val="single" w:sz="4" w:space="0" w:color="A6A6A6" w:themeColor="background1" w:themeShade="A6"/>
            </w:tcBorders>
            <w:hideMark/>
          </w:tcPr>
          <w:p w:rsidR="001E533C" w:rsidRPr="00405736" w:rsidRDefault="001E533C" w:rsidP="00402348">
            <w:pPr>
              <w:pStyle w:val="TableText"/>
            </w:pPr>
            <w:r w:rsidRPr="00405736">
              <w:t>Inner suburbs/ inner urban</w:t>
            </w:r>
          </w:p>
        </w:tc>
        <w:tc>
          <w:tcPr>
            <w:tcW w:w="5713"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Areas of metropolitan Melbourne within about seven to 10 kilometres of the CBD</w:t>
            </w:r>
          </w:p>
        </w:tc>
      </w:tr>
      <w:tr w:rsidR="001E533C" w:rsidRPr="00405736" w:rsidTr="00690FB5">
        <w:trPr>
          <w:trHeight w:val="70"/>
        </w:trPr>
        <w:tc>
          <w:tcPr>
            <w:tcW w:w="1701"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 xml:space="preserve">Interchange </w:t>
            </w:r>
          </w:p>
        </w:tc>
        <w:tc>
          <w:tcPr>
            <w:tcW w:w="5713"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A location where passengers can change to an alternative route or mode of transport</w:t>
            </w:r>
          </w:p>
        </w:tc>
      </w:tr>
      <w:tr w:rsidR="001E533C" w:rsidRPr="00405736" w:rsidTr="00690FB5">
        <w:trPr>
          <w:trHeight w:val="70"/>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t>Load</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2348">
            <w:pPr>
              <w:pStyle w:val="TableText"/>
            </w:pPr>
            <w:r>
              <w:t>Number of passengers travelling on a tram or train, often measured over a</w:t>
            </w:r>
            <w:r w:rsidR="00402348">
              <w:t xml:space="preserve"> </w:t>
            </w:r>
            <w:r>
              <w:t>rolling hour or over the AM peak</w:t>
            </w:r>
            <w:r w:rsidR="00402348">
              <w:t xml:space="preserve"> period</w:t>
            </w:r>
          </w:p>
        </w:tc>
      </w:tr>
      <w:tr w:rsidR="001E533C" w:rsidRPr="00405736" w:rsidTr="00690FB5">
        <w:trPr>
          <w:trHeight w:val="70"/>
        </w:trPr>
        <w:tc>
          <w:tcPr>
            <w:tcW w:w="1701" w:type="dxa"/>
            <w:tcBorders>
              <w:top w:val="single" w:sz="4" w:space="0" w:color="A6A6A6" w:themeColor="background1" w:themeShade="A6"/>
              <w:bottom w:val="single" w:sz="4" w:space="0" w:color="A6A6A6" w:themeColor="background1" w:themeShade="A6"/>
            </w:tcBorders>
          </w:tcPr>
          <w:p w:rsidR="001E533C" w:rsidRDefault="001E533C" w:rsidP="004E4AF3">
            <w:pPr>
              <w:pStyle w:val="TableText"/>
            </w:pPr>
            <w:r>
              <w:t>Load breach</w:t>
            </w:r>
          </w:p>
        </w:tc>
        <w:tc>
          <w:tcPr>
            <w:tcW w:w="5713" w:type="dxa"/>
            <w:tcBorders>
              <w:top w:val="single" w:sz="4" w:space="0" w:color="A6A6A6" w:themeColor="background1" w:themeShade="A6"/>
              <w:bottom w:val="single" w:sz="4" w:space="0" w:color="A6A6A6" w:themeColor="background1" w:themeShade="A6"/>
            </w:tcBorders>
          </w:tcPr>
          <w:p w:rsidR="001E533C" w:rsidRDefault="001E533C" w:rsidP="004E4AF3">
            <w:pPr>
              <w:pStyle w:val="TableText"/>
            </w:pPr>
            <w:r>
              <w:t>For existing rolling stock, where there is more than a rolling average of 798 people on board</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4E4AF3">
            <w:pPr>
              <w:pStyle w:val="TableText"/>
            </w:pPr>
            <w:r w:rsidRPr="00405736">
              <w:t>Melbourne Metro Rail Authority</w:t>
            </w:r>
          </w:p>
        </w:tc>
        <w:tc>
          <w:tcPr>
            <w:tcW w:w="5713"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405736">
            <w:pPr>
              <w:pStyle w:val="TableText"/>
            </w:pPr>
            <w:r w:rsidRPr="00405736">
              <w:t xml:space="preserve">An Administrative Office within the Department of Economic Development, Jobs, Transport and Resources, which is responsible for the delivery of </w:t>
            </w:r>
            <w:r>
              <w:t>Melbourne Metro</w:t>
            </w:r>
            <w:r w:rsidRPr="00405736">
              <w:t xml:space="preserve"> on behalf of the Victorian Government</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4E4AF3">
            <w:pPr>
              <w:pStyle w:val="TableText"/>
            </w:pPr>
            <w:r w:rsidRPr="00405736">
              <w:t>Melbourne Metro Rail Project</w:t>
            </w:r>
          </w:p>
        </w:tc>
        <w:tc>
          <w:tcPr>
            <w:tcW w:w="5713"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405736">
            <w:pPr>
              <w:pStyle w:val="TableText"/>
            </w:pPr>
            <w:r w:rsidRPr="00405736">
              <w:t xml:space="preserve">The </w:t>
            </w:r>
            <w:r>
              <w:t>p</w:t>
            </w:r>
            <w:r w:rsidRPr="00405736">
              <w:t>roject being assessed in the EES, which includes:</w:t>
            </w:r>
          </w:p>
          <w:p w:rsidR="001E533C" w:rsidRPr="00405736" w:rsidRDefault="001E533C" w:rsidP="00E60B10">
            <w:pPr>
              <w:pStyle w:val="TableText"/>
              <w:numPr>
                <w:ilvl w:val="0"/>
                <w:numId w:val="10"/>
              </w:numPr>
            </w:pPr>
            <w:r w:rsidRPr="00405736">
              <w:t>Tw</w:t>
            </w:r>
            <w:r w:rsidR="00402348">
              <w:t>in</w:t>
            </w:r>
            <w:r w:rsidRPr="00405736">
              <w:t xml:space="preserve"> nine-kilometre rail tunnels from Kensington to South Yarra</w:t>
            </w:r>
          </w:p>
          <w:p w:rsidR="00402348" w:rsidRPr="00405736" w:rsidRDefault="00402348" w:rsidP="00402348">
            <w:pPr>
              <w:pStyle w:val="TableText"/>
              <w:numPr>
                <w:ilvl w:val="0"/>
                <w:numId w:val="10"/>
              </w:numPr>
            </w:pPr>
            <w:r w:rsidRPr="00405736">
              <w:t>Rail tunnel portals (entrances) at Kensington and South Yarra</w:t>
            </w:r>
          </w:p>
          <w:p w:rsidR="001E533C" w:rsidRPr="00405736" w:rsidRDefault="001E533C" w:rsidP="00E60B10">
            <w:pPr>
              <w:pStyle w:val="TableText"/>
              <w:numPr>
                <w:ilvl w:val="0"/>
                <w:numId w:val="10"/>
              </w:numPr>
            </w:pPr>
            <w:r w:rsidRPr="00405736">
              <w:t>New underground stations at Arden, Parkville, CBD North, CBD South and Domain</w:t>
            </w:r>
          </w:p>
          <w:p w:rsidR="001E533C" w:rsidRPr="00405736" w:rsidRDefault="001E533C" w:rsidP="00E60B10">
            <w:pPr>
              <w:pStyle w:val="TableText"/>
              <w:numPr>
                <w:ilvl w:val="0"/>
                <w:numId w:val="10"/>
              </w:numPr>
            </w:pPr>
            <w:r w:rsidRPr="00405736">
              <w:t>Train/tram interchange at Domain station</w:t>
            </w:r>
          </w:p>
          <w:p w:rsidR="001E533C" w:rsidRPr="00405736" w:rsidRDefault="001E533C" w:rsidP="00E60B10">
            <w:pPr>
              <w:pStyle w:val="TableText"/>
              <w:numPr>
                <w:ilvl w:val="0"/>
                <w:numId w:val="10"/>
              </w:numPr>
            </w:pPr>
            <w:r w:rsidRPr="00405736">
              <w:t>A turnback at West Footscray.</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4E4AF3">
            <w:pPr>
              <w:pStyle w:val="TableText"/>
            </w:pPr>
            <w:r w:rsidRPr="00405736">
              <w:t>Metro Trains Melbourne</w:t>
            </w:r>
          </w:p>
        </w:tc>
        <w:tc>
          <w:tcPr>
            <w:tcW w:w="5713"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405736">
            <w:pPr>
              <w:pStyle w:val="TableText"/>
            </w:pPr>
            <w:r w:rsidRPr="00405736">
              <w:t>Franchise operator of the suburban railway network in Melbourne. MTM is a joint venture between the Hong Kong-based MTR Corporation, John Holland Group and UGL Rail</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405736">
            <w:pPr>
              <w:pStyle w:val="TableText"/>
            </w:pPr>
            <w:r w:rsidRPr="00405736">
              <w:t>Mitigation measure</w:t>
            </w:r>
          </w:p>
        </w:tc>
        <w:tc>
          <w:tcPr>
            <w:tcW w:w="5713"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4E4AF3">
            <w:pPr>
              <w:pStyle w:val="TableText"/>
            </w:pPr>
            <w:r w:rsidRPr="00405736">
              <w:t xml:space="preserve">Measure that would manage, minimise or avoid an identified environmental impact and enable the Environmental Performance Requirement set for the </w:t>
            </w:r>
            <w:r>
              <w:t>p</w:t>
            </w:r>
            <w:r w:rsidRPr="00405736">
              <w:t>roject to be met</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4E4AF3">
            <w:pPr>
              <w:pStyle w:val="TableText"/>
            </w:pPr>
            <w:r>
              <w:t>Northern Group</w:t>
            </w:r>
          </w:p>
        </w:tc>
        <w:tc>
          <w:tcPr>
            <w:tcW w:w="5713"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4E4AF3">
            <w:pPr>
              <w:pStyle w:val="TableText"/>
            </w:pPr>
            <w:r w:rsidRPr="004E4AF3">
              <w:t>The Craigieburn, Upfield and Sunbury Lines, operating via the City Loop</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405736">
            <w:pPr>
              <w:pStyle w:val="TableText"/>
            </w:pPr>
            <w:r w:rsidRPr="00405736">
              <w:t>Opportunities</w:t>
            </w:r>
          </w:p>
        </w:tc>
        <w:tc>
          <w:tcPr>
            <w:tcW w:w="5713"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4E4AF3">
            <w:pPr>
              <w:pStyle w:val="TableText"/>
            </w:pPr>
            <w:r w:rsidRPr="00405736">
              <w:t xml:space="preserve">Opportunities or improvements that arise indirectly as a result of the </w:t>
            </w:r>
            <w:r>
              <w:t>p</w:t>
            </w:r>
            <w:r w:rsidRPr="00405736">
              <w:t xml:space="preserve">roject and that do not fall within the scope of the </w:t>
            </w:r>
            <w:r>
              <w:t>p</w:t>
            </w:r>
            <w:r w:rsidRPr="00405736">
              <w:t>roject. These opportunities could be created through action taken by the public or private sectors.</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1E533C" w:rsidRPr="004E4AF3" w:rsidRDefault="001E533C" w:rsidP="00405736">
            <w:pPr>
              <w:pStyle w:val="TableText"/>
              <w:rPr>
                <w:i/>
              </w:rPr>
            </w:pPr>
            <w:r w:rsidRPr="004E4AF3">
              <w:rPr>
                <w:i/>
              </w:rPr>
              <w:t xml:space="preserve">Plan Melbourne </w:t>
            </w:r>
          </w:p>
        </w:tc>
        <w:tc>
          <w:tcPr>
            <w:tcW w:w="5713"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1667C0">
            <w:pPr>
              <w:pStyle w:val="TableText"/>
            </w:pPr>
            <w:r>
              <w:t>The Victorian Government’s metropolitan planning strategy for Melbourne’s growth to 2050. A refreshed plan is proposed for release in 2016</w:t>
            </w:r>
            <w:r w:rsidR="00402348">
              <w:t>.</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405736">
            <w:pPr>
              <w:pStyle w:val="TableText"/>
            </w:pPr>
            <w:r w:rsidRPr="00405736">
              <w:t>Planning Scheme Amendment (PSA)</w:t>
            </w:r>
          </w:p>
        </w:tc>
        <w:tc>
          <w:tcPr>
            <w:tcW w:w="5713"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405736">
            <w:pPr>
              <w:pStyle w:val="TableText"/>
            </w:pPr>
            <w:r w:rsidRPr="00405736">
              <w:t xml:space="preserve">A change to a local planning scheme to achieve a desirable outcome or to support a new project or policy direction. </w:t>
            </w:r>
            <w:r>
              <w:t>Melbourne Metro</w:t>
            </w:r>
            <w:r w:rsidRPr="00405736">
              <w:t xml:space="preserve"> would require a Planning Scheme Amendment to the Melbourne, Port Phillip, Stonnington and Maribyrnong Planning Schemes.</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405736">
            <w:pPr>
              <w:pStyle w:val="TableText"/>
            </w:pPr>
            <w:r w:rsidRPr="00405736">
              <w:t xml:space="preserve">Portal </w:t>
            </w:r>
          </w:p>
        </w:tc>
        <w:tc>
          <w:tcPr>
            <w:tcW w:w="5713" w:type="dxa"/>
            <w:tcBorders>
              <w:top w:val="single" w:sz="4" w:space="0" w:color="A6A6A6" w:themeColor="background1" w:themeShade="A6"/>
              <w:bottom w:val="single" w:sz="4" w:space="0" w:color="A6A6A6" w:themeColor="background1" w:themeShade="A6"/>
            </w:tcBorders>
            <w:shd w:val="clear" w:color="auto" w:fill="auto"/>
          </w:tcPr>
          <w:p w:rsidR="001E533C" w:rsidRPr="00405736" w:rsidRDefault="001E533C" w:rsidP="00405736">
            <w:pPr>
              <w:pStyle w:val="TableText"/>
            </w:pPr>
            <w:r w:rsidRPr="00405736">
              <w:t xml:space="preserve">The entrance to a tunnel </w:t>
            </w:r>
          </w:p>
        </w:tc>
      </w:tr>
      <w:tr w:rsidR="001E533C" w:rsidRPr="00AE7D97" w:rsidTr="00690FB5">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rsidR="001E533C" w:rsidRPr="00F301E9" w:rsidRDefault="001E533C" w:rsidP="00405736">
            <w:pPr>
              <w:pStyle w:val="TableText"/>
            </w:pPr>
            <w:r>
              <w:t>P</w:t>
            </w:r>
            <w:r w:rsidRPr="00F301E9">
              <w:t>M peak period</w:t>
            </w:r>
          </w:p>
        </w:tc>
        <w:tc>
          <w:tcPr>
            <w:tcW w:w="5713" w:type="dxa"/>
            <w:tcBorders>
              <w:top w:val="single" w:sz="4" w:space="0" w:color="A6A6A6" w:themeColor="background1" w:themeShade="A6"/>
              <w:bottom w:val="single" w:sz="4" w:space="0" w:color="A6A6A6" w:themeColor="background1" w:themeShade="A6"/>
            </w:tcBorders>
            <w:shd w:val="clear" w:color="auto" w:fill="auto"/>
          </w:tcPr>
          <w:p w:rsidR="001E533C" w:rsidRPr="00F301E9" w:rsidRDefault="001E533C" w:rsidP="00405736">
            <w:pPr>
              <w:pStyle w:val="TableText"/>
            </w:pPr>
            <w:r>
              <w:t xml:space="preserve">Two-hour </w:t>
            </w:r>
            <w:r w:rsidRPr="00F301E9">
              <w:t xml:space="preserve">period between </w:t>
            </w:r>
            <w:r>
              <w:t xml:space="preserve">4.30pm </w:t>
            </w:r>
            <w:r w:rsidRPr="00F301E9">
              <w:t xml:space="preserve">and </w:t>
            </w:r>
            <w:r>
              <w:t>6.30pm</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lastRenderedPageBreak/>
              <w:t>Precinct</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E60B10">
            <w:pPr>
              <w:pStyle w:val="TableText"/>
            </w:pPr>
            <w:r w:rsidRPr="00405736">
              <w:t xml:space="preserve">For assessment purposes, the proposed </w:t>
            </w:r>
            <w:r>
              <w:t>p</w:t>
            </w:r>
            <w:r w:rsidRPr="00405736">
              <w:t xml:space="preserve">roject boundary for </w:t>
            </w:r>
            <w:r>
              <w:t>Melbourne Metro</w:t>
            </w:r>
            <w:r w:rsidRPr="00405736">
              <w:t xml:space="preserve"> has been divided into nine precincts based on the location of </w:t>
            </w:r>
            <w:r>
              <w:t>p</w:t>
            </w:r>
            <w:r w:rsidRPr="00405736">
              <w:t>roject components and required construction works, the potential impacts on local areas and the character of surrounding communities</w:t>
            </w:r>
            <w:r>
              <w:t>.</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Project</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The Melbourne Metro Rail Project</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Project Area</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1667C0">
            <w:pPr>
              <w:pStyle w:val="TableText"/>
            </w:pPr>
            <w:r w:rsidRPr="00405736">
              <w:t xml:space="preserve">The area declared under the </w:t>
            </w:r>
            <w:r w:rsidRPr="001667C0">
              <w:rPr>
                <w:i/>
              </w:rPr>
              <w:t>Major Transport Projects Facilitation Act 2009</w:t>
            </w:r>
            <w:r w:rsidRPr="00405736">
              <w:t xml:space="preserve"> within which all the </w:t>
            </w:r>
            <w:r>
              <w:t>p</w:t>
            </w:r>
            <w:r w:rsidRPr="00405736">
              <w:t>roject components would be contained</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Project components</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 xml:space="preserve">The specific pieces of infrastructure that would need to be built in each precinct to complete </w:t>
            </w:r>
            <w:r>
              <w:t>Melbourne Metro</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Project objectives</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2348">
            <w:pPr>
              <w:pStyle w:val="TableText"/>
            </w:pPr>
            <w:r w:rsidRPr="00405736">
              <w:t xml:space="preserve">High-level objectives set by MMRA to establish the broad strategic direction for designing and developing </w:t>
            </w:r>
            <w:r>
              <w:t>Melbourne Metro</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Project proponent</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B61B0C">
            <w:pPr>
              <w:pStyle w:val="TableText"/>
            </w:pPr>
            <w:r w:rsidRPr="00405736">
              <w:t xml:space="preserve">The person or body who is carrying out or proposing to carry out any works that could be subject to the </w:t>
            </w:r>
            <w:r w:rsidRPr="00690FB5">
              <w:rPr>
                <w:i/>
              </w:rPr>
              <w:t>Environment Effects Act 1978</w:t>
            </w:r>
            <w:r w:rsidRPr="00405736">
              <w:t xml:space="preserve">. MMRA is the project proponent for </w:t>
            </w:r>
            <w:r>
              <w:t>Melbourne Metro</w:t>
            </w:r>
            <w:r w:rsidRPr="00405736">
              <w:t>.</w:t>
            </w:r>
          </w:p>
        </w:tc>
      </w:tr>
      <w:tr w:rsidR="001E533C" w:rsidRPr="00405736" w:rsidTr="00690FB5">
        <w:trPr>
          <w:cantSplit/>
          <w:trHeight w:val="1599"/>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Proposed Project boundary</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2348">
            <w:pPr>
              <w:pStyle w:val="TableText"/>
            </w:pPr>
            <w:r w:rsidRPr="00405736">
              <w:t xml:space="preserve">The proposed </w:t>
            </w:r>
            <w:r>
              <w:t>project</w:t>
            </w:r>
            <w:r w:rsidRPr="00405736">
              <w:t xml:space="preserve"> boundary encompasses all areas that would be used for </w:t>
            </w:r>
            <w:r>
              <w:t>Melbourne Metro</w:t>
            </w:r>
            <w:r w:rsidRPr="00405736">
              <w:t xml:space="preserve">’s permanent structures and temporary construction areas, and provides the basis for the specialist assessments conducted for the EES. The proposed </w:t>
            </w:r>
            <w:r>
              <w:t>project</w:t>
            </w:r>
            <w:r w:rsidRPr="00405736">
              <w:t xml:space="preserve"> boundary will inform the declaration of the ‘Project Area’ under the </w:t>
            </w:r>
            <w:r w:rsidRPr="00690FB5">
              <w:rPr>
                <w:i/>
              </w:rPr>
              <w:t>Major Transport Projects Facilitation Act 2009</w:t>
            </w:r>
            <w:r w:rsidRPr="00405736">
              <w:t xml:space="preserve"> following consideration of the EES.</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 xml:space="preserve">Public Transport Victoria </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Statutory authority responsible for providing, coordinating and promoting public transport in Victoria</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t xml:space="preserve">Reliability </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1667C0">
            <w:pPr>
              <w:pStyle w:val="TableText"/>
            </w:pPr>
            <w:r>
              <w:t>Reliability is measured as the percentage of the timetable that is delivered. Non-delivery of services includes cancellations, trains that run short and trains that bypass the City or Altona Loops</w:t>
            </w:r>
            <w:r w:rsidR="00402348">
              <w:t>.</w:t>
            </w:r>
          </w:p>
        </w:tc>
      </w:tr>
      <w:tr w:rsidR="001E533C" w:rsidRPr="00405736" w:rsidTr="00690FB5">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B61B0C">
            <w:pPr>
              <w:pStyle w:val="TableText"/>
            </w:pPr>
            <w:r w:rsidRPr="00405736">
              <w:t xml:space="preserve">Retrieval shaft/site </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Structure/working area used to retrieve the tunnel boring machine</w:t>
            </w:r>
          </w:p>
        </w:tc>
      </w:tr>
      <w:tr w:rsidR="001E533C" w:rsidRPr="00405736" w:rsidTr="00690FB5">
        <w:trPr>
          <w:cantSplit/>
          <w:trHeight w:val="200"/>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Risk Register</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 xml:space="preserve">A full list of all risks identified for the </w:t>
            </w:r>
            <w:r>
              <w:t>project</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 xml:space="preserve">Roadheader </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An excavating machine with a rotating head mounted on crawler tracks developed for cutting a wide range of medium to hard rocks in underground mining and tunnelling</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EC3BF3" w:rsidP="00405736">
            <w:pPr>
              <w:pStyle w:val="TableText"/>
            </w:pPr>
            <w:r>
              <w:t>Scoping R</w:t>
            </w:r>
            <w:r w:rsidR="001E533C" w:rsidRPr="00405736">
              <w:t>equirements</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Requirements prepared to ensure that the EES:</w:t>
            </w:r>
          </w:p>
          <w:p w:rsidR="001E533C" w:rsidRPr="00405736" w:rsidRDefault="001E533C" w:rsidP="00690FB5">
            <w:pPr>
              <w:pStyle w:val="TableText"/>
              <w:numPr>
                <w:ilvl w:val="0"/>
                <w:numId w:val="11"/>
              </w:numPr>
            </w:pPr>
            <w:r w:rsidRPr="00405736">
              <w:t>Responds properly to the Order made by the Minister for Planning</w:t>
            </w:r>
          </w:p>
          <w:p w:rsidR="001E533C" w:rsidRPr="00405736" w:rsidRDefault="001E533C" w:rsidP="00690FB5">
            <w:pPr>
              <w:pStyle w:val="TableText"/>
              <w:numPr>
                <w:ilvl w:val="0"/>
                <w:numId w:val="11"/>
              </w:numPr>
            </w:pPr>
            <w:r w:rsidRPr="00405736">
              <w:t>Identifies what the environmental effects of the work will be</w:t>
            </w:r>
          </w:p>
          <w:p w:rsidR="001E533C" w:rsidRPr="00405736" w:rsidRDefault="001E533C" w:rsidP="00690FB5">
            <w:pPr>
              <w:pStyle w:val="TableText"/>
              <w:numPr>
                <w:ilvl w:val="0"/>
                <w:numId w:val="11"/>
              </w:numPr>
            </w:pPr>
            <w:r w:rsidRPr="00405736">
              <w:t xml:space="preserve">Explains how the environmental effects of the works would be managed across the different stages and aspects of the </w:t>
            </w:r>
            <w:r>
              <w:t>project</w:t>
            </w:r>
          </w:p>
          <w:p w:rsidR="001E533C" w:rsidRPr="00405736" w:rsidRDefault="001E533C" w:rsidP="00690FB5">
            <w:pPr>
              <w:pStyle w:val="TableText"/>
              <w:numPr>
                <w:ilvl w:val="0"/>
                <w:numId w:val="11"/>
              </w:numPr>
            </w:pPr>
            <w:r w:rsidRPr="00405736">
              <w:t xml:space="preserve">Provides sufficient and appropriate information to </w:t>
            </w:r>
            <w:r w:rsidRPr="00B61B0C">
              <w:t>allow the Minister to assess the environmental effects of the works under the</w:t>
            </w:r>
            <w:r w:rsidRPr="00690FB5">
              <w:rPr>
                <w:i/>
              </w:rPr>
              <w:t xml:space="preserve"> Environmental Effects Act</w:t>
            </w:r>
            <w:r w:rsidR="00B61B0C">
              <w:rPr>
                <w:i/>
              </w:rPr>
              <w:t xml:space="preserve"> </w:t>
            </w:r>
            <w:r w:rsidRPr="00690FB5">
              <w:rPr>
                <w:i/>
              </w:rPr>
              <w:t>1978</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Spoil</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Rock and soil removed during the excavation of the tunnels and construction of the stations</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State Environment Protection Policy</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Victorian environmental policies that set guidelines to protect the environment and to measure, monitor and address environmental issues</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 xml:space="preserve">Station box </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 xml:space="preserve">A box-like underground structure for a </w:t>
            </w:r>
            <w:r>
              <w:t>Melbourne Metro</w:t>
            </w:r>
            <w:r w:rsidRPr="00405736">
              <w:t xml:space="preserve"> underground station</w:t>
            </w:r>
          </w:p>
        </w:tc>
      </w:tr>
      <w:tr w:rsidR="001E533C" w:rsidRPr="00405736" w:rsidTr="00690FB5">
        <w:trPr>
          <w:trHeight w:val="70"/>
        </w:trPr>
        <w:tc>
          <w:tcPr>
            <w:tcW w:w="1701" w:type="dxa"/>
            <w:tcBorders>
              <w:top w:val="single" w:sz="4" w:space="0" w:color="A6A6A6" w:themeColor="background1" w:themeShade="A6"/>
              <w:bottom w:val="single" w:sz="4" w:space="0" w:color="A6A6A6" w:themeColor="background1" w:themeShade="A6"/>
            </w:tcBorders>
            <w:hideMark/>
          </w:tcPr>
          <w:p w:rsidR="001E533C" w:rsidRPr="00405736" w:rsidRDefault="001E533C" w:rsidP="00B53201">
            <w:pPr>
              <w:pStyle w:val="TableText"/>
            </w:pPr>
            <w:r w:rsidRPr="00405736">
              <w:t xml:space="preserve">Study area </w:t>
            </w:r>
          </w:p>
        </w:tc>
        <w:tc>
          <w:tcPr>
            <w:tcW w:w="5713" w:type="dxa"/>
            <w:tcBorders>
              <w:top w:val="single" w:sz="4" w:space="0" w:color="A6A6A6" w:themeColor="background1" w:themeShade="A6"/>
              <w:bottom w:val="single" w:sz="4" w:space="0" w:color="A6A6A6" w:themeColor="background1" w:themeShade="A6"/>
            </w:tcBorders>
            <w:hideMark/>
          </w:tcPr>
          <w:p w:rsidR="001E533C" w:rsidRDefault="001E533C" w:rsidP="001667C0">
            <w:pPr>
              <w:pStyle w:val="TableText"/>
            </w:pPr>
            <w:r w:rsidRPr="00405736">
              <w:t xml:space="preserve">The study area established for each specialist assessment undertaken for the EES. Generally, the study area is the same as the proposed </w:t>
            </w:r>
            <w:r>
              <w:t>p</w:t>
            </w:r>
            <w:r w:rsidRPr="00405736">
              <w:t xml:space="preserve">roject boundary. In some instances, a broader study area </w:t>
            </w:r>
            <w:r w:rsidRPr="00405736">
              <w:lastRenderedPageBreak/>
              <w:t xml:space="preserve">was adopted to ensure that regional impacts are considered. </w:t>
            </w:r>
          </w:p>
          <w:p w:rsidR="001E533C" w:rsidRPr="00405736" w:rsidRDefault="001E533C" w:rsidP="00340F11">
            <w:pPr>
              <w:pStyle w:val="TableText"/>
            </w:pPr>
            <w:r w:rsidRPr="00405736">
              <w:t>The study area will inform the</w:t>
            </w:r>
            <w:r>
              <w:t xml:space="preserve"> Project Area</w:t>
            </w:r>
            <w:r w:rsidRPr="00405736">
              <w:t xml:space="preserve"> under the </w:t>
            </w:r>
            <w:r w:rsidRPr="00340F11">
              <w:rPr>
                <w:i/>
              </w:rPr>
              <w:t>Major Transport Project Facilitation Act 2009</w:t>
            </w:r>
            <w:r w:rsidRPr="00405736">
              <w:t xml:space="preserve"> following considerations of the EES.</w:t>
            </w:r>
          </w:p>
        </w:tc>
      </w:tr>
      <w:tr w:rsidR="001E533C" w:rsidRPr="00405736" w:rsidTr="00690FB5">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2348">
            <w:pPr>
              <w:pStyle w:val="TableText"/>
            </w:pPr>
            <w:r w:rsidRPr="00405736">
              <w:lastRenderedPageBreak/>
              <w:t xml:space="preserve">TBM launch shaft/site </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Structure/working area used for lowering in and launching the TBM</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 xml:space="preserve">TBM retrieval box </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A shaft of adequate dimensions to receive a TBM at the end of its drive and allow it to be dismantled and lifted to the surface</w:t>
            </w:r>
          </w:p>
        </w:tc>
      </w:tr>
      <w:tr w:rsidR="001E533C" w:rsidRPr="00405736" w:rsidTr="00690FB5">
        <w:trPr>
          <w:cantSplit/>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Technical Reference Group</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2348">
            <w:pPr>
              <w:pStyle w:val="TableText"/>
            </w:pPr>
            <w:r w:rsidRPr="00405736">
              <w:t xml:space="preserve">Agency-based advisory group convened by the Department of Environment Land, Water and Planning to advise it and MMRA on aspects of the </w:t>
            </w:r>
            <w:r>
              <w:t>project</w:t>
            </w:r>
          </w:p>
        </w:tc>
      </w:tr>
      <w:tr w:rsidR="001E533C" w:rsidRPr="00405736" w:rsidTr="00690FB5">
        <w:trPr>
          <w:trHeight w:val="266"/>
        </w:trPr>
        <w:tc>
          <w:tcPr>
            <w:tcW w:w="1701"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Tunnel boring machine (TBM)</w:t>
            </w:r>
          </w:p>
        </w:tc>
        <w:tc>
          <w:tcPr>
            <w:tcW w:w="5713"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A mechanically operated machine used to excavate a tunnel with a circular cross section through a variety of ground strata</w:t>
            </w:r>
          </w:p>
        </w:tc>
      </w:tr>
      <w:tr w:rsidR="001E533C" w:rsidRPr="00405736" w:rsidTr="00690FB5">
        <w:trPr>
          <w:trHeight w:val="70"/>
        </w:trPr>
        <w:tc>
          <w:tcPr>
            <w:tcW w:w="1701"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 xml:space="preserve">Tunnel invert </w:t>
            </w:r>
          </w:p>
        </w:tc>
        <w:tc>
          <w:tcPr>
            <w:tcW w:w="5713"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Lowest point within the tunnel cross section</w:t>
            </w:r>
          </w:p>
        </w:tc>
      </w:tr>
      <w:tr w:rsidR="001E533C" w:rsidRPr="00405736" w:rsidTr="00690FB5">
        <w:trPr>
          <w:trHeight w:val="70"/>
        </w:trPr>
        <w:tc>
          <w:tcPr>
            <w:tcW w:w="1701"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Tunnel ventilation system</w:t>
            </w:r>
          </w:p>
        </w:tc>
        <w:tc>
          <w:tcPr>
            <w:tcW w:w="5713"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A system to provide an acceptable environment in the tunnel in terms of both temperature and air quality and also to remove smoke in the event of a fire</w:t>
            </w:r>
          </w:p>
        </w:tc>
      </w:tr>
      <w:tr w:rsidR="001E533C" w:rsidRPr="00405736" w:rsidTr="00690FB5">
        <w:trPr>
          <w:trHeight w:val="70"/>
        </w:trPr>
        <w:tc>
          <w:tcPr>
            <w:tcW w:w="1701"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 xml:space="preserve">Turnout </w:t>
            </w:r>
          </w:p>
        </w:tc>
        <w:tc>
          <w:tcPr>
            <w:tcW w:w="5713"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Track device which permits traffic to turnout from one track to another</w:t>
            </w:r>
          </w:p>
        </w:tc>
      </w:tr>
      <w:tr w:rsidR="001E533C" w:rsidRPr="00405736" w:rsidTr="00690FB5">
        <w:trPr>
          <w:trHeight w:val="70"/>
        </w:trPr>
        <w:tc>
          <w:tcPr>
            <w:tcW w:w="1701"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Urban Design Strategy</w:t>
            </w:r>
          </w:p>
        </w:tc>
        <w:tc>
          <w:tcPr>
            <w:tcW w:w="5713"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 xml:space="preserve">A document that provides guidance on the design of the </w:t>
            </w:r>
            <w:r>
              <w:t>project</w:t>
            </w:r>
            <w:r w:rsidRPr="00405736">
              <w:t xml:space="preserve">’s above ground structures. Adoption of the strategy would ensure high quality design applies across the </w:t>
            </w:r>
            <w:r>
              <w:t>project</w:t>
            </w:r>
            <w:r w:rsidRPr="00405736">
              <w:t>.</w:t>
            </w:r>
          </w:p>
        </w:tc>
      </w:tr>
      <w:tr w:rsidR="001E533C" w:rsidRPr="00405736" w:rsidTr="00690FB5">
        <w:trPr>
          <w:trHeight w:val="825"/>
        </w:trPr>
        <w:tc>
          <w:tcPr>
            <w:tcW w:w="1701"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Urban renewal</w:t>
            </w:r>
          </w:p>
        </w:tc>
        <w:tc>
          <w:tcPr>
            <w:tcW w:w="5713"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The improvement or rehabilitation of urban areas. Urban renewal traditionally involves demolishing old or run-down buildings on brownfield sites in inner city areas to build new residential or commercial developments or large scale public works projects (such as convention centres, stadiums or freeways). Urban renewal can also build on an area’s existing strengths to make better use of underutilised land located close to jobs, services and transport.</w:t>
            </w:r>
          </w:p>
        </w:tc>
      </w:tr>
      <w:tr w:rsidR="001E533C" w:rsidRPr="00405736" w:rsidTr="00690FB5">
        <w:trPr>
          <w:trHeight w:val="70"/>
        </w:trPr>
        <w:tc>
          <w:tcPr>
            <w:tcW w:w="1701"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Utility Service Provider</w:t>
            </w:r>
          </w:p>
        </w:tc>
        <w:tc>
          <w:tcPr>
            <w:tcW w:w="5713"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A person, other than a public authority or municipal council, having responsibility under an Act for the generation, transmission, distribution or supply of electricity, gas, power, telecommunications, water supply, drainage or sewerage services</w:t>
            </w:r>
          </w:p>
        </w:tc>
      </w:tr>
      <w:tr w:rsidR="001E533C" w:rsidRPr="00405736" w:rsidTr="00690FB5">
        <w:trPr>
          <w:trHeight w:val="70"/>
        </w:trPr>
        <w:tc>
          <w:tcPr>
            <w:tcW w:w="1701"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Ventilation shafts</w:t>
            </w:r>
          </w:p>
        </w:tc>
        <w:tc>
          <w:tcPr>
            <w:tcW w:w="5713"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Shafts used to control air quality during tunnel maintenance and in the event of an emergency</w:t>
            </w:r>
          </w:p>
        </w:tc>
      </w:tr>
      <w:tr w:rsidR="001E533C" w:rsidRPr="00405736" w:rsidTr="00690FB5">
        <w:trPr>
          <w:trHeight w:val="187"/>
        </w:trPr>
        <w:tc>
          <w:tcPr>
            <w:tcW w:w="1701"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Victorian Integrated Transport Model</w:t>
            </w:r>
          </w:p>
        </w:tc>
        <w:tc>
          <w:tcPr>
            <w:tcW w:w="5713"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The four-step strategic traffic model developed by PTV, which is used for strategic modelling of transport projects located in metropolitan Melbourne</w:t>
            </w:r>
          </w:p>
        </w:tc>
      </w:tr>
      <w:tr w:rsidR="001E533C" w:rsidRPr="00405736" w:rsidTr="00690FB5">
        <w:trPr>
          <w:trHeight w:val="70"/>
        </w:trPr>
        <w:tc>
          <w:tcPr>
            <w:tcW w:w="1701"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Victoria Planning Provisions (VPPs)</w:t>
            </w:r>
          </w:p>
        </w:tc>
        <w:tc>
          <w:tcPr>
            <w:tcW w:w="5713"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Specify matters that must be taken into account in considering any application to carry out works. The VPPs include a range of zones and overlays, which councils can select to include in their Planning Schemes.</w:t>
            </w:r>
          </w:p>
        </w:tc>
      </w:tr>
      <w:tr w:rsidR="001E533C" w:rsidRPr="00405736" w:rsidTr="00690FB5">
        <w:trPr>
          <w:trHeight w:val="70"/>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VicTrack</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Trading name of the Victorian Rail Track Corporation, a Victorian Government-owned enterprise, which owns all railway and tram lines, associated rail lands and other related rail-related infrastructure in Victoria</w:t>
            </w:r>
          </w:p>
        </w:tc>
      </w:tr>
      <w:tr w:rsidR="001E533C" w:rsidRPr="00405736" w:rsidTr="00690FB5">
        <w:trPr>
          <w:trHeight w:val="241"/>
        </w:trPr>
        <w:tc>
          <w:tcPr>
            <w:tcW w:w="1701"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Wider network enhancements</w:t>
            </w:r>
          </w:p>
        </w:tc>
        <w:tc>
          <w:tcPr>
            <w:tcW w:w="5713" w:type="dxa"/>
            <w:tcBorders>
              <w:top w:val="single" w:sz="4" w:space="0" w:color="A6A6A6" w:themeColor="background1" w:themeShade="A6"/>
              <w:bottom w:val="single" w:sz="4" w:space="0" w:color="A6A6A6" w:themeColor="background1" w:themeShade="A6"/>
            </w:tcBorders>
          </w:tcPr>
          <w:p w:rsidR="001E533C" w:rsidRPr="00405736" w:rsidRDefault="001E533C" w:rsidP="00405736">
            <w:pPr>
              <w:pStyle w:val="TableText"/>
            </w:pPr>
            <w:r w:rsidRPr="00405736">
              <w:t xml:space="preserve">Further improvements that could be undertaken following the completion of </w:t>
            </w:r>
            <w:r>
              <w:t>Melbourne Metro</w:t>
            </w:r>
            <w:r w:rsidRPr="00405736">
              <w:t xml:space="preserve"> to enable further uplift in capacity across the rail network. Wider network enhancements are not within the scope of the EES as they would be developed at a later stage and are yet to be planned in detail. They are not essential to the operation or functionality of </w:t>
            </w:r>
            <w:r>
              <w:t>Melbourne Metro</w:t>
            </w:r>
            <w:r w:rsidRPr="00405736">
              <w:t>.</w:t>
            </w:r>
          </w:p>
        </w:tc>
      </w:tr>
      <w:tr w:rsidR="001E533C" w:rsidRPr="00405736" w:rsidTr="00690FB5">
        <w:trPr>
          <w:trHeight w:val="70"/>
        </w:trPr>
        <w:tc>
          <w:tcPr>
            <w:tcW w:w="1701"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lastRenderedPageBreak/>
              <w:t xml:space="preserve">Westbound track  </w:t>
            </w:r>
          </w:p>
        </w:tc>
        <w:tc>
          <w:tcPr>
            <w:tcW w:w="5713" w:type="dxa"/>
            <w:tcBorders>
              <w:top w:val="single" w:sz="4" w:space="0" w:color="A6A6A6" w:themeColor="background1" w:themeShade="A6"/>
              <w:bottom w:val="single" w:sz="4" w:space="0" w:color="A6A6A6" w:themeColor="background1" w:themeShade="A6"/>
            </w:tcBorders>
            <w:hideMark/>
          </w:tcPr>
          <w:p w:rsidR="001E533C" w:rsidRPr="00405736" w:rsidRDefault="001E533C" w:rsidP="00405736">
            <w:pPr>
              <w:pStyle w:val="TableText"/>
            </w:pPr>
            <w:r w:rsidRPr="00405736">
              <w:t>Track heading towards Sunbury</w:t>
            </w:r>
          </w:p>
        </w:tc>
      </w:tr>
      <w:tr w:rsidR="001E533C" w:rsidRPr="00405736" w:rsidTr="00690FB5">
        <w:trPr>
          <w:trHeight w:val="70"/>
        </w:trPr>
        <w:tc>
          <w:tcPr>
            <w:tcW w:w="1701" w:type="dxa"/>
            <w:tcBorders>
              <w:top w:val="single" w:sz="4" w:space="0" w:color="A6A6A6" w:themeColor="background1" w:themeShade="A6"/>
              <w:bottom w:val="single" w:sz="4" w:space="0" w:color="A6A6A6" w:themeColor="background1" w:themeShade="A6"/>
            </w:tcBorders>
            <w:hideMark/>
          </w:tcPr>
          <w:p w:rsidR="001E533C" w:rsidRPr="00405736" w:rsidRDefault="001E533C" w:rsidP="002D6B9E">
            <w:pPr>
              <w:pStyle w:val="TableText"/>
            </w:pPr>
            <w:r w:rsidRPr="00405736">
              <w:t xml:space="preserve">Western </w:t>
            </w:r>
            <w:r>
              <w:t>p</w:t>
            </w:r>
            <w:r w:rsidRPr="00405736">
              <w:t xml:space="preserve">ortal </w:t>
            </w:r>
          </w:p>
        </w:tc>
        <w:tc>
          <w:tcPr>
            <w:tcW w:w="5713" w:type="dxa"/>
            <w:tcBorders>
              <w:top w:val="single" w:sz="4" w:space="0" w:color="A6A6A6" w:themeColor="background1" w:themeShade="A6"/>
              <w:bottom w:val="single" w:sz="4" w:space="0" w:color="A6A6A6" w:themeColor="background1" w:themeShade="A6"/>
            </w:tcBorders>
            <w:hideMark/>
          </w:tcPr>
          <w:p w:rsidR="001E533C" w:rsidRPr="00405736" w:rsidRDefault="001E533C" w:rsidP="002D6B9E">
            <w:pPr>
              <w:pStyle w:val="TableText"/>
            </w:pPr>
            <w:r w:rsidRPr="00405736">
              <w:t>Term used to describe the section between the tie-in to the Sunbury Line and the service facility /TBM retrieval box in the Kensington area</w:t>
            </w:r>
          </w:p>
        </w:tc>
      </w:tr>
    </w:tbl>
    <w:p w:rsidR="00F301E9" w:rsidRPr="00F301E9" w:rsidRDefault="00F301E9" w:rsidP="00690FB5">
      <w:pPr>
        <w:pStyle w:val="Source"/>
        <w:spacing w:after="120"/>
        <w:ind w:left="142"/>
      </w:pPr>
      <w:r w:rsidRPr="00F301E9">
        <w:t xml:space="preserve">Note: Technical terms are defined in the glossaries attached to the individual specialist impact assessments, which are attached as appendices to the EES </w:t>
      </w:r>
      <w:r>
        <w:t>main r</w:t>
      </w:r>
      <w:r w:rsidRPr="00F301E9">
        <w:t>eport.</w:t>
      </w:r>
    </w:p>
    <w:p w:rsidR="00B61B0C" w:rsidRDefault="00B61B0C">
      <w:pPr>
        <w:spacing w:before="0" w:after="200" w:line="276" w:lineRule="auto"/>
        <w:rPr>
          <w:rFonts w:eastAsiaTheme="majorEastAsia" w:cstheme="majorBidi"/>
          <w:bCs/>
          <w:color w:val="796E65" w:themeColor="accent4"/>
          <w:sz w:val="32"/>
          <w:szCs w:val="28"/>
        </w:rPr>
      </w:pPr>
      <w:r>
        <w:br w:type="page"/>
      </w:r>
    </w:p>
    <w:p w:rsidR="00F301E9" w:rsidRPr="00F301E9" w:rsidRDefault="00F301E9" w:rsidP="00F301E9">
      <w:pPr>
        <w:pStyle w:val="Heading3NoNumber"/>
      </w:pPr>
      <w:r>
        <w:lastRenderedPageBreak/>
        <w:t>Abbreviations</w:t>
      </w:r>
    </w:p>
    <w:tbl>
      <w:tblPr>
        <w:tblW w:w="7379" w:type="dxa"/>
        <w:tblInd w:w="108" w:type="dxa"/>
        <w:tblLook w:val="04A0" w:firstRow="1" w:lastRow="0" w:firstColumn="1" w:lastColumn="0" w:noHBand="0" w:noVBand="1"/>
      </w:tblPr>
      <w:tblGrid>
        <w:gridCol w:w="1426"/>
        <w:gridCol w:w="5953"/>
      </w:tblGrid>
      <w:tr w:rsidR="00F301E9" w:rsidRPr="00F301E9" w:rsidTr="00FE7AAE">
        <w:trPr>
          <w:cantSplit/>
          <w:trHeight w:val="353"/>
          <w:tblHeader/>
        </w:trPr>
        <w:tc>
          <w:tcPr>
            <w:tcW w:w="1426" w:type="dxa"/>
            <w:tcBorders>
              <w:right w:val="single" w:sz="4" w:space="0" w:color="FFFFFF" w:themeColor="background1"/>
            </w:tcBorders>
            <w:shd w:val="clear" w:color="auto" w:fill="00BAD4" w:themeFill="text2"/>
          </w:tcPr>
          <w:p w:rsidR="00F301E9" w:rsidRPr="00F301E9" w:rsidRDefault="00F301E9" w:rsidP="00F301E9">
            <w:pPr>
              <w:pStyle w:val="TableText"/>
              <w:rPr>
                <w:b/>
                <w:color w:val="FFFFFF" w:themeColor="background1"/>
              </w:rPr>
            </w:pPr>
            <w:r w:rsidRPr="00F301E9">
              <w:rPr>
                <w:b/>
                <w:color w:val="FFFFFF" w:themeColor="background1"/>
              </w:rPr>
              <w:t>Abbreviation</w:t>
            </w:r>
          </w:p>
        </w:tc>
        <w:tc>
          <w:tcPr>
            <w:tcW w:w="5953" w:type="dxa"/>
            <w:tcBorders>
              <w:left w:val="single" w:sz="4" w:space="0" w:color="FFFFFF" w:themeColor="background1"/>
              <w:right w:val="single" w:sz="4" w:space="0" w:color="FFFFFF" w:themeColor="background1"/>
            </w:tcBorders>
            <w:shd w:val="clear" w:color="auto" w:fill="00BAD4" w:themeFill="text2"/>
          </w:tcPr>
          <w:p w:rsidR="00F301E9" w:rsidRPr="00F301E9" w:rsidRDefault="00F301E9" w:rsidP="00F301E9">
            <w:pPr>
              <w:pStyle w:val="TableText"/>
              <w:rPr>
                <w:b/>
                <w:color w:val="FFFFFF" w:themeColor="background1"/>
              </w:rPr>
            </w:pPr>
          </w:p>
        </w:tc>
      </w:tr>
      <w:tr w:rsidR="00F301E9" w:rsidRPr="00AE7D97" w:rsidTr="00FE7AAE">
        <w:trPr>
          <w:cantSplit/>
        </w:trPr>
        <w:tc>
          <w:tcPr>
            <w:tcW w:w="1426" w:type="dxa"/>
            <w:tcBorders>
              <w:bottom w:val="single" w:sz="4" w:space="0" w:color="A6A6A6" w:themeColor="background1" w:themeShade="A6"/>
            </w:tcBorders>
          </w:tcPr>
          <w:p w:rsidR="00F301E9" w:rsidRPr="00F301E9" w:rsidRDefault="00405736" w:rsidP="00F301E9">
            <w:pPr>
              <w:pStyle w:val="TableText"/>
            </w:pPr>
            <w:r>
              <w:t>ABS</w:t>
            </w:r>
          </w:p>
        </w:tc>
        <w:tc>
          <w:tcPr>
            <w:tcW w:w="5953" w:type="dxa"/>
            <w:tcBorders>
              <w:bottom w:val="single" w:sz="4" w:space="0" w:color="A6A6A6" w:themeColor="background1" w:themeShade="A6"/>
            </w:tcBorders>
          </w:tcPr>
          <w:p w:rsidR="00F301E9" w:rsidRPr="00F301E9" w:rsidRDefault="00405736" w:rsidP="00F301E9">
            <w:pPr>
              <w:pStyle w:val="TableText"/>
            </w:pPr>
            <w:r>
              <w:t>Australian Bureau of Statistics</w:t>
            </w:r>
          </w:p>
        </w:tc>
      </w:tr>
      <w:tr w:rsidR="00405736" w:rsidRPr="00AE7D97" w:rsidTr="00FE7AAE">
        <w:trPr>
          <w:cantSplit/>
        </w:trPr>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ANZECC</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Australian and New Zealand Environment &amp; Conservation Council</w:t>
            </w:r>
          </w:p>
        </w:tc>
      </w:tr>
      <w:tr w:rsidR="00405736" w:rsidRPr="00AE7D97" w:rsidTr="00FE7AAE">
        <w:trPr>
          <w:cantSplit/>
        </w:trPr>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ASS / ASR</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2348">
            <w:pPr>
              <w:pStyle w:val="TableText"/>
            </w:pPr>
            <w:r w:rsidRPr="00F301E9">
              <w:t>Acid sulfate soil/acid sulfate rock</w:t>
            </w:r>
          </w:p>
        </w:tc>
      </w:tr>
      <w:tr w:rsidR="00405736" w:rsidRPr="00AE7D97" w:rsidTr="00FE7AAE">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 xml:space="preserve">CBD </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Central Business District</w:t>
            </w:r>
          </w:p>
        </w:tc>
      </w:tr>
      <w:tr w:rsidR="00405736" w:rsidRPr="00AE7D97" w:rsidTr="00FE7AAE">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CEMP</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Construction Environmental Management Plan</w:t>
            </w:r>
          </w:p>
        </w:tc>
      </w:tr>
      <w:tr w:rsidR="00405736" w:rsidRPr="00AE7D97" w:rsidTr="00FE7AAE">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CHMP</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Cultural Heritage Management Plan</w:t>
            </w:r>
          </w:p>
        </w:tc>
      </w:tr>
      <w:tr w:rsidR="004E4AF3" w:rsidRPr="00AE7D97" w:rsidTr="00FE7AAE">
        <w:trPr>
          <w:cantSplit/>
        </w:trPr>
        <w:tc>
          <w:tcPr>
            <w:tcW w:w="1426" w:type="dxa"/>
            <w:tcBorders>
              <w:top w:val="single" w:sz="4" w:space="0" w:color="A6A6A6" w:themeColor="background1" w:themeShade="A6"/>
              <w:bottom w:val="single" w:sz="4" w:space="0" w:color="A6A6A6" w:themeColor="background1" w:themeShade="A6"/>
            </w:tcBorders>
          </w:tcPr>
          <w:p w:rsidR="004E4AF3" w:rsidRPr="00F301E9" w:rsidRDefault="004E4AF3" w:rsidP="00405736">
            <w:pPr>
              <w:pStyle w:val="TableText"/>
            </w:pPr>
            <w:r>
              <w:t>COAG</w:t>
            </w:r>
          </w:p>
        </w:tc>
        <w:tc>
          <w:tcPr>
            <w:tcW w:w="5953" w:type="dxa"/>
            <w:tcBorders>
              <w:top w:val="single" w:sz="4" w:space="0" w:color="A6A6A6" w:themeColor="background1" w:themeShade="A6"/>
              <w:bottom w:val="single" w:sz="4" w:space="0" w:color="A6A6A6" w:themeColor="background1" w:themeShade="A6"/>
            </w:tcBorders>
          </w:tcPr>
          <w:p w:rsidR="004E4AF3" w:rsidRPr="00F301E9" w:rsidRDefault="004E4AF3" w:rsidP="00405736">
            <w:pPr>
              <w:pStyle w:val="TableText"/>
            </w:pPr>
            <w:r>
              <w:t>Council of Australian Governments</w:t>
            </w:r>
          </w:p>
        </w:tc>
      </w:tr>
      <w:tr w:rsidR="00405736" w:rsidRPr="00AE7D97" w:rsidTr="00FE7AAE">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CoM</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City of Melbourne</w:t>
            </w:r>
          </w:p>
        </w:tc>
      </w:tr>
      <w:tr w:rsidR="00405736" w:rsidRPr="00AE7D97" w:rsidTr="00FE7AAE">
        <w:tc>
          <w:tcPr>
            <w:tcW w:w="1426" w:type="dxa"/>
            <w:tcBorders>
              <w:top w:val="single" w:sz="4" w:space="0" w:color="A6A6A6" w:themeColor="background1" w:themeShade="A6"/>
              <w:bottom w:val="single" w:sz="4" w:space="0" w:color="A6A6A6" w:themeColor="background1" w:themeShade="A6"/>
            </w:tcBorders>
          </w:tcPr>
          <w:p w:rsidR="00405736" w:rsidRPr="00F301E9" w:rsidDel="000E74E9" w:rsidRDefault="00405736" w:rsidP="00405736">
            <w:pPr>
              <w:pStyle w:val="TableText"/>
            </w:pPr>
            <w:r w:rsidRPr="00F301E9">
              <w:t>CoPP</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City of Port Phillip</w:t>
            </w:r>
          </w:p>
        </w:tc>
      </w:tr>
      <w:tr w:rsidR="00405736" w:rsidRPr="00AE7D97" w:rsidTr="00FE7AAE">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CoS</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City of Stonnington</w:t>
            </w:r>
          </w:p>
        </w:tc>
      </w:tr>
      <w:tr w:rsidR="004E4AF3" w:rsidRPr="00AE7D97" w:rsidTr="00FE7AAE">
        <w:tc>
          <w:tcPr>
            <w:tcW w:w="1426" w:type="dxa"/>
            <w:tcBorders>
              <w:top w:val="single" w:sz="4" w:space="0" w:color="A6A6A6" w:themeColor="background1" w:themeShade="A6"/>
              <w:bottom w:val="single" w:sz="4" w:space="0" w:color="A6A6A6" w:themeColor="background1" w:themeShade="A6"/>
            </w:tcBorders>
          </w:tcPr>
          <w:p w:rsidR="004E4AF3" w:rsidRPr="00F301E9" w:rsidRDefault="004E4AF3" w:rsidP="00405736">
            <w:pPr>
              <w:pStyle w:val="TableText"/>
            </w:pPr>
            <w:r>
              <w:t>CPLU</w:t>
            </w:r>
          </w:p>
        </w:tc>
        <w:tc>
          <w:tcPr>
            <w:tcW w:w="5953" w:type="dxa"/>
            <w:tcBorders>
              <w:top w:val="single" w:sz="4" w:space="0" w:color="A6A6A6" w:themeColor="background1" w:themeShade="A6"/>
              <w:bottom w:val="single" w:sz="4" w:space="0" w:color="A6A6A6" w:themeColor="background1" w:themeShade="A6"/>
            </w:tcBorders>
          </w:tcPr>
          <w:p w:rsidR="004E4AF3" w:rsidRPr="00F301E9" w:rsidRDefault="004E4AF3" w:rsidP="00405736">
            <w:pPr>
              <w:pStyle w:val="TableText"/>
            </w:pPr>
            <w:r>
              <w:t>Cranbourne / Pakenham Line Upgrade</w:t>
            </w:r>
          </w:p>
        </w:tc>
      </w:tr>
      <w:tr w:rsidR="00405736" w:rsidRPr="00AE7D97" w:rsidTr="00FE7AAE">
        <w:trPr>
          <w:cantSplit/>
        </w:trPr>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DDA</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690FB5">
              <w:rPr>
                <w:i/>
              </w:rPr>
              <w:t>Disability Discrimination Act 1992</w:t>
            </w:r>
            <w:r w:rsidRPr="00F301E9">
              <w:t xml:space="preserve"> (C’th)</w:t>
            </w:r>
          </w:p>
        </w:tc>
      </w:tr>
      <w:tr w:rsidR="00405736" w:rsidRPr="00AE7D97" w:rsidTr="00FE7AAE">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DDO</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Design and Development Overlay</w:t>
            </w:r>
          </w:p>
        </w:tc>
      </w:tr>
      <w:tr w:rsidR="00405736" w:rsidRPr="00AE7D97" w:rsidTr="00FE7AAE">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DEDJTR</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Department of Economic Development, Jobs, Transport and Resources (Victoria)</w:t>
            </w:r>
          </w:p>
        </w:tc>
      </w:tr>
      <w:tr w:rsidR="00405736" w:rsidRPr="00AE7D97" w:rsidTr="00FE7AAE">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DELWP</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Department of Environment Land, Water and Planning (Victoria)</w:t>
            </w:r>
          </w:p>
        </w:tc>
      </w:tr>
      <w:tr w:rsidR="00405736" w:rsidRPr="00AE7D97" w:rsidTr="00FE7AAE">
        <w:trPr>
          <w:cantSplit/>
        </w:trPr>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DoE</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Department of the Environment (Commonwealth)</w:t>
            </w:r>
          </w:p>
        </w:tc>
      </w:tr>
      <w:tr w:rsidR="004E4AF3" w:rsidRPr="00AE7D97" w:rsidTr="00FE7AAE">
        <w:trPr>
          <w:cantSplit/>
        </w:trPr>
        <w:tc>
          <w:tcPr>
            <w:tcW w:w="1426" w:type="dxa"/>
            <w:tcBorders>
              <w:top w:val="single" w:sz="4" w:space="0" w:color="A6A6A6" w:themeColor="background1" w:themeShade="A6"/>
              <w:bottom w:val="single" w:sz="4" w:space="0" w:color="A6A6A6" w:themeColor="background1" w:themeShade="A6"/>
            </w:tcBorders>
          </w:tcPr>
          <w:p w:rsidR="004E4AF3" w:rsidRPr="00F301E9" w:rsidRDefault="004E4AF3" w:rsidP="00405736">
            <w:pPr>
              <w:pStyle w:val="TableText"/>
            </w:pPr>
            <w:r>
              <w:t>DPC</w:t>
            </w:r>
          </w:p>
        </w:tc>
        <w:tc>
          <w:tcPr>
            <w:tcW w:w="5953" w:type="dxa"/>
            <w:tcBorders>
              <w:top w:val="single" w:sz="4" w:space="0" w:color="A6A6A6" w:themeColor="background1" w:themeShade="A6"/>
              <w:bottom w:val="single" w:sz="4" w:space="0" w:color="A6A6A6" w:themeColor="background1" w:themeShade="A6"/>
            </w:tcBorders>
          </w:tcPr>
          <w:p w:rsidR="004E4AF3" w:rsidRPr="00F301E9" w:rsidRDefault="004E4AF3" w:rsidP="00405736">
            <w:pPr>
              <w:pStyle w:val="TableText"/>
            </w:pPr>
            <w:r>
              <w:t>Department of Premier and Cabinet (Victoria)</w:t>
            </w:r>
          </w:p>
        </w:tc>
      </w:tr>
      <w:tr w:rsidR="00405736" w:rsidRPr="00AE7D97" w:rsidTr="00FE7AAE">
        <w:trPr>
          <w:cantSplit/>
        </w:trPr>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DTF</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Department of Treasury and Finance (Victoria)</w:t>
            </w:r>
          </w:p>
        </w:tc>
      </w:tr>
      <w:tr w:rsidR="00405736" w:rsidRPr="00AE7D97" w:rsidTr="00FE7AAE">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EES</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Environment Effects Statement</w:t>
            </w:r>
          </w:p>
        </w:tc>
      </w:tr>
      <w:tr w:rsidR="00405736" w:rsidRPr="00AE7D97" w:rsidTr="00FE7AAE">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EMF</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Environmental Management Framework</w:t>
            </w:r>
          </w:p>
        </w:tc>
      </w:tr>
      <w:tr w:rsidR="00405736" w:rsidRPr="00AE7D97" w:rsidTr="00FE7AAE">
        <w:trPr>
          <w:cantSplit/>
        </w:trPr>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EMP</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Environmental Management Plan</w:t>
            </w:r>
          </w:p>
        </w:tc>
      </w:tr>
      <w:tr w:rsidR="00405736" w:rsidRPr="00AE7D97" w:rsidTr="00FE7AAE">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EPA</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Environment Protection Authority (Victoria)</w:t>
            </w:r>
          </w:p>
        </w:tc>
      </w:tr>
      <w:tr w:rsidR="00402348" w:rsidRPr="00AE7D97" w:rsidTr="00FE7AAE">
        <w:tc>
          <w:tcPr>
            <w:tcW w:w="1426" w:type="dxa"/>
            <w:tcBorders>
              <w:top w:val="single" w:sz="4" w:space="0" w:color="A6A6A6" w:themeColor="background1" w:themeShade="A6"/>
              <w:bottom w:val="single" w:sz="4" w:space="0" w:color="A6A6A6" w:themeColor="background1" w:themeShade="A6"/>
            </w:tcBorders>
          </w:tcPr>
          <w:p w:rsidR="00402348" w:rsidRPr="00F301E9" w:rsidRDefault="00402348" w:rsidP="00405736">
            <w:pPr>
              <w:pStyle w:val="TableText"/>
            </w:pPr>
            <w:r>
              <w:t>EPBC</w:t>
            </w:r>
            <w:r w:rsidR="009F30A3">
              <w:t xml:space="preserve"> </w:t>
            </w:r>
            <w:r>
              <w:t>A</w:t>
            </w:r>
            <w:r w:rsidR="009F30A3">
              <w:t>ct</w:t>
            </w:r>
          </w:p>
        </w:tc>
        <w:tc>
          <w:tcPr>
            <w:tcW w:w="5953" w:type="dxa"/>
            <w:tcBorders>
              <w:top w:val="single" w:sz="4" w:space="0" w:color="A6A6A6" w:themeColor="background1" w:themeShade="A6"/>
              <w:bottom w:val="single" w:sz="4" w:space="0" w:color="A6A6A6" w:themeColor="background1" w:themeShade="A6"/>
            </w:tcBorders>
          </w:tcPr>
          <w:p w:rsidR="00402348" w:rsidRPr="00F301E9" w:rsidRDefault="009F30A3" w:rsidP="009F30A3">
            <w:pPr>
              <w:pStyle w:val="TableText"/>
            </w:pPr>
            <w:r w:rsidRPr="009F30A3">
              <w:rPr>
                <w:i/>
              </w:rPr>
              <w:t>Environment Protection and Biodiversity Conservation Act 1999</w:t>
            </w:r>
            <w:r>
              <w:rPr>
                <w:i/>
              </w:rPr>
              <w:t xml:space="preserve"> </w:t>
            </w:r>
            <w:r w:rsidRPr="009F30A3">
              <w:t>(C’th)</w:t>
            </w:r>
          </w:p>
        </w:tc>
      </w:tr>
      <w:tr w:rsidR="00405736" w:rsidRPr="00AE7D97" w:rsidTr="00FE7AAE">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EWLNA</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East West link Needs Assessment</w:t>
            </w:r>
          </w:p>
        </w:tc>
      </w:tr>
      <w:tr w:rsidR="004E4AF3" w:rsidRPr="00AE7D97" w:rsidTr="00FE7AAE">
        <w:tc>
          <w:tcPr>
            <w:tcW w:w="1426" w:type="dxa"/>
            <w:tcBorders>
              <w:top w:val="single" w:sz="4" w:space="0" w:color="A6A6A6" w:themeColor="background1" w:themeShade="A6"/>
              <w:bottom w:val="single" w:sz="4" w:space="0" w:color="A6A6A6" w:themeColor="background1" w:themeShade="A6"/>
            </w:tcBorders>
          </w:tcPr>
          <w:p w:rsidR="004E4AF3" w:rsidRPr="00F301E9" w:rsidRDefault="004E4AF3" w:rsidP="00405736">
            <w:pPr>
              <w:pStyle w:val="TableText"/>
            </w:pPr>
            <w:r>
              <w:t>GDP</w:t>
            </w:r>
          </w:p>
        </w:tc>
        <w:tc>
          <w:tcPr>
            <w:tcW w:w="5953" w:type="dxa"/>
            <w:tcBorders>
              <w:top w:val="single" w:sz="4" w:space="0" w:color="A6A6A6" w:themeColor="background1" w:themeShade="A6"/>
              <w:bottom w:val="single" w:sz="4" w:space="0" w:color="A6A6A6" w:themeColor="background1" w:themeShade="A6"/>
            </w:tcBorders>
          </w:tcPr>
          <w:p w:rsidR="004E4AF3" w:rsidRPr="00F301E9" w:rsidRDefault="004E4AF3" w:rsidP="00405736">
            <w:pPr>
              <w:pStyle w:val="TableText"/>
            </w:pPr>
            <w:r>
              <w:t xml:space="preserve">Gross Domestic Product </w:t>
            </w:r>
          </w:p>
        </w:tc>
      </w:tr>
      <w:tr w:rsidR="00405736" w:rsidRPr="00AE7D97" w:rsidTr="00FE7AAE">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GHG</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Greenhouse gas</w:t>
            </w:r>
          </w:p>
        </w:tc>
      </w:tr>
      <w:tr w:rsidR="004E4AF3" w:rsidRPr="00AE7D97" w:rsidTr="00FE7AAE">
        <w:tc>
          <w:tcPr>
            <w:tcW w:w="1426" w:type="dxa"/>
            <w:tcBorders>
              <w:top w:val="single" w:sz="4" w:space="0" w:color="A6A6A6" w:themeColor="background1" w:themeShade="A6"/>
              <w:bottom w:val="single" w:sz="4" w:space="0" w:color="A6A6A6" w:themeColor="background1" w:themeShade="A6"/>
            </w:tcBorders>
          </w:tcPr>
          <w:p w:rsidR="004E4AF3" w:rsidRPr="00F301E9" w:rsidRDefault="004E4AF3" w:rsidP="00405736">
            <w:pPr>
              <w:pStyle w:val="TableText"/>
            </w:pPr>
            <w:r>
              <w:t>GSP</w:t>
            </w:r>
          </w:p>
        </w:tc>
        <w:tc>
          <w:tcPr>
            <w:tcW w:w="5953" w:type="dxa"/>
            <w:tcBorders>
              <w:top w:val="single" w:sz="4" w:space="0" w:color="A6A6A6" w:themeColor="background1" w:themeShade="A6"/>
              <w:bottom w:val="single" w:sz="4" w:space="0" w:color="A6A6A6" w:themeColor="background1" w:themeShade="A6"/>
            </w:tcBorders>
          </w:tcPr>
          <w:p w:rsidR="004E4AF3" w:rsidRPr="00F301E9" w:rsidRDefault="004E4AF3" w:rsidP="004E4AF3">
            <w:pPr>
              <w:pStyle w:val="TableText"/>
            </w:pPr>
            <w:r>
              <w:t>Gross State Product</w:t>
            </w:r>
          </w:p>
        </w:tc>
      </w:tr>
      <w:tr w:rsidR="004E4AF3" w:rsidRPr="00AE7D97" w:rsidTr="00FE7AAE">
        <w:tc>
          <w:tcPr>
            <w:tcW w:w="1426" w:type="dxa"/>
            <w:tcBorders>
              <w:top w:val="single" w:sz="4" w:space="0" w:color="A6A6A6" w:themeColor="background1" w:themeShade="A6"/>
              <w:bottom w:val="single" w:sz="4" w:space="0" w:color="A6A6A6" w:themeColor="background1" w:themeShade="A6"/>
            </w:tcBorders>
          </w:tcPr>
          <w:p w:rsidR="004E4AF3" w:rsidRDefault="004E4AF3" w:rsidP="00405736">
            <w:pPr>
              <w:pStyle w:val="TableText"/>
            </w:pPr>
            <w:r>
              <w:t>GVA</w:t>
            </w:r>
          </w:p>
        </w:tc>
        <w:tc>
          <w:tcPr>
            <w:tcW w:w="5953" w:type="dxa"/>
            <w:tcBorders>
              <w:top w:val="single" w:sz="4" w:space="0" w:color="A6A6A6" w:themeColor="background1" w:themeShade="A6"/>
              <w:bottom w:val="single" w:sz="4" w:space="0" w:color="A6A6A6" w:themeColor="background1" w:themeShade="A6"/>
            </w:tcBorders>
          </w:tcPr>
          <w:p w:rsidR="004E4AF3" w:rsidRDefault="004E4AF3" w:rsidP="004E4AF3">
            <w:pPr>
              <w:pStyle w:val="TableText"/>
            </w:pPr>
            <w:r>
              <w:t>Gross Value Added</w:t>
            </w:r>
          </w:p>
        </w:tc>
      </w:tr>
      <w:tr w:rsidR="004E4AF3" w:rsidRPr="00AE7D97" w:rsidTr="00FE7AAE">
        <w:tc>
          <w:tcPr>
            <w:tcW w:w="1426" w:type="dxa"/>
            <w:tcBorders>
              <w:top w:val="single" w:sz="4" w:space="0" w:color="A6A6A6" w:themeColor="background1" w:themeShade="A6"/>
              <w:bottom w:val="single" w:sz="4" w:space="0" w:color="A6A6A6" w:themeColor="background1" w:themeShade="A6"/>
            </w:tcBorders>
          </w:tcPr>
          <w:p w:rsidR="004E4AF3" w:rsidRDefault="004E4AF3" w:rsidP="00405736">
            <w:pPr>
              <w:pStyle w:val="TableText"/>
            </w:pPr>
            <w:r>
              <w:t>HCMT</w:t>
            </w:r>
          </w:p>
        </w:tc>
        <w:tc>
          <w:tcPr>
            <w:tcW w:w="5953" w:type="dxa"/>
            <w:tcBorders>
              <w:top w:val="single" w:sz="4" w:space="0" w:color="A6A6A6" w:themeColor="background1" w:themeShade="A6"/>
              <w:bottom w:val="single" w:sz="4" w:space="0" w:color="A6A6A6" w:themeColor="background1" w:themeShade="A6"/>
            </w:tcBorders>
          </w:tcPr>
          <w:p w:rsidR="004E4AF3" w:rsidRDefault="004E4AF3" w:rsidP="004E4AF3">
            <w:pPr>
              <w:pStyle w:val="TableText"/>
            </w:pPr>
            <w:r>
              <w:t>High Capacity Metro Train</w:t>
            </w:r>
          </w:p>
        </w:tc>
      </w:tr>
      <w:tr w:rsidR="004E4AF3" w:rsidRPr="00AE7D97" w:rsidTr="00FE7AAE">
        <w:tc>
          <w:tcPr>
            <w:tcW w:w="1426" w:type="dxa"/>
            <w:tcBorders>
              <w:top w:val="single" w:sz="4" w:space="0" w:color="A6A6A6" w:themeColor="background1" w:themeShade="A6"/>
              <w:bottom w:val="single" w:sz="4" w:space="0" w:color="A6A6A6" w:themeColor="background1" w:themeShade="A6"/>
            </w:tcBorders>
          </w:tcPr>
          <w:p w:rsidR="004E4AF3" w:rsidRDefault="004E4AF3" w:rsidP="00405736">
            <w:pPr>
              <w:pStyle w:val="TableText"/>
            </w:pPr>
            <w:r>
              <w:t>HCS</w:t>
            </w:r>
          </w:p>
        </w:tc>
        <w:tc>
          <w:tcPr>
            <w:tcW w:w="5953" w:type="dxa"/>
            <w:tcBorders>
              <w:top w:val="single" w:sz="4" w:space="0" w:color="A6A6A6" w:themeColor="background1" w:themeShade="A6"/>
              <w:bottom w:val="single" w:sz="4" w:space="0" w:color="A6A6A6" w:themeColor="background1" w:themeShade="A6"/>
            </w:tcBorders>
          </w:tcPr>
          <w:p w:rsidR="004E4AF3" w:rsidRDefault="004E4AF3" w:rsidP="004E4AF3">
            <w:pPr>
              <w:pStyle w:val="TableText"/>
            </w:pPr>
            <w:r>
              <w:t>High Capacity Signalling</w:t>
            </w:r>
          </w:p>
        </w:tc>
      </w:tr>
      <w:tr w:rsidR="004E4AF3" w:rsidRPr="00AE7D97" w:rsidTr="00FE7AAE">
        <w:tc>
          <w:tcPr>
            <w:tcW w:w="1426" w:type="dxa"/>
            <w:tcBorders>
              <w:top w:val="single" w:sz="4" w:space="0" w:color="A6A6A6" w:themeColor="background1" w:themeShade="A6"/>
              <w:bottom w:val="single" w:sz="4" w:space="0" w:color="A6A6A6" w:themeColor="background1" w:themeShade="A6"/>
            </w:tcBorders>
          </w:tcPr>
          <w:p w:rsidR="004E4AF3" w:rsidRDefault="004E4AF3" w:rsidP="00405736">
            <w:pPr>
              <w:pStyle w:val="TableText"/>
            </w:pPr>
            <w:r>
              <w:t>IA</w:t>
            </w:r>
          </w:p>
        </w:tc>
        <w:tc>
          <w:tcPr>
            <w:tcW w:w="5953" w:type="dxa"/>
            <w:tcBorders>
              <w:top w:val="single" w:sz="4" w:space="0" w:color="A6A6A6" w:themeColor="background1" w:themeShade="A6"/>
              <w:bottom w:val="single" w:sz="4" w:space="0" w:color="A6A6A6" w:themeColor="background1" w:themeShade="A6"/>
            </w:tcBorders>
          </w:tcPr>
          <w:p w:rsidR="004E4AF3" w:rsidRDefault="004E4AF3" w:rsidP="004E4AF3">
            <w:pPr>
              <w:pStyle w:val="TableText"/>
            </w:pPr>
            <w:r>
              <w:t>Infrastructure Australia</w:t>
            </w:r>
          </w:p>
        </w:tc>
      </w:tr>
      <w:tr w:rsidR="004E4AF3" w:rsidRPr="00AE7D97" w:rsidTr="00FE7AAE">
        <w:tc>
          <w:tcPr>
            <w:tcW w:w="1426" w:type="dxa"/>
            <w:tcBorders>
              <w:top w:val="single" w:sz="4" w:space="0" w:color="A6A6A6" w:themeColor="background1" w:themeShade="A6"/>
              <w:bottom w:val="single" w:sz="4" w:space="0" w:color="A6A6A6" w:themeColor="background1" w:themeShade="A6"/>
            </w:tcBorders>
          </w:tcPr>
          <w:p w:rsidR="004E4AF3" w:rsidRDefault="004E4AF3" w:rsidP="00405736">
            <w:pPr>
              <w:pStyle w:val="TableText"/>
            </w:pPr>
            <w:r>
              <w:t>ICT</w:t>
            </w:r>
          </w:p>
        </w:tc>
        <w:tc>
          <w:tcPr>
            <w:tcW w:w="5953" w:type="dxa"/>
            <w:tcBorders>
              <w:top w:val="single" w:sz="4" w:space="0" w:color="A6A6A6" w:themeColor="background1" w:themeShade="A6"/>
              <w:bottom w:val="single" w:sz="4" w:space="0" w:color="A6A6A6" w:themeColor="background1" w:themeShade="A6"/>
            </w:tcBorders>
          </w:tcPr>
          <w:p w:rsidR="004E4AF3" w:rsidRDefault="004E4AF3" w:rsidP="004E4AF3">
            <w:pPr>
              <w:pStyle w:val="TableText"/>
            </w:pPr>
            <w:r>
              <w:t>Information and communications technology</w:t>
            </w:r>
          </w:p>
        </w:tc>
      </w:tr>
      <w:tr w:rsidR="00405736" w:rsidRPr="00AE7D97" w:rsidTr="00FE7AAE">
        <w:trPr>
          <w:trHeight w:val="70"/>
        </w:trPr>
        <w:tc>
          <w:tcPr>
            <w:tcW w:w="1426" w:type="dxa"/>
            <w:tcBorders>
              <w:top w:val="single" w:sz="4" w:space="0" w:color="A6A6A6" w:themeColor="background1" w:themeShade="A6"/>
              <w:bottom w:val="single" w:sz="4" w:space="0" w:color="A6A6A6" w:themeColor="background1" w:themeShade="A6"/>
            </w:tcBorders>
            <w:hideMark/>
          </w:tcPr>
          <w:p w:rsidR="00405736" w:rsidRPr="00F301E9" w:rsidRDefault="00405736" w:rsidP="00405736">
            <w:pPr>
              <w:pStyle w:val="TableText"/>
            </w:pPr>
            <w:r w:rsidRPr="00F301E9">
              <w:t>IS</w:t>
            </w:r>
          </w:p>
        </w:tc>
        <w:tc>
          <w:tcPr>
            <w:tcW w:w="5953" w:type="dxa"/>
            <w:tcBorders>
              <w:top w:val="single" w:sz="4" w:space="0" w:color="A6A6A6" w:themeColor="background1" w:themeShade="A6"/>
              <w:bottom w:val="single" w:sz="4" w:space="0" w:color="A6A6A6" w:themeColor="background1" w:themeShade="A6"/>
            </w:tcBorders>
            <w:hideMark/>
          </w:tcPr>
          <w:p w:rsidR="00405736" w:rsidRPr="00F301E9" w:rsidRDefault="00405736" w:rsidP="00405736">
            <w:pPr>
              <w:pStyle w:val="TableText"/>
            </w:pPr>
            <w:r w:rsidRPr="00F301E9">
              <w:t xml:space="preserve">Infrastructure Sustainability (IS) Rating Tool </w:t>
            </w:r>
          </w:p>
        </w:tc>
      </w:tr>
      <w:tr w:rsidR="00405736" w:rsidRPr="00AE7D97" w:rsidTr="00FE7AAE">
        <w:trPr>
          <w:trHeight w:val="70"/>
        </w:trPr>
        <w:tc>
          <w:tcPr>
            <w:tcW w:w="1426" w:type="dxa"/>
            <w:tcBorders>
              <w:top w:val="single" w:sz="4" w:space="0" w:color="A6A6A6" w:themeColor="background1" w:themeShade="A6"/>
              <w:bottom w:val="single" w:sz="4" w:space="0" w:color="A6A6A6" w:themeColor="background1" w:themeShade="A6"/>
            </w:tcBorders>
            <w:hideMark/>
          </w:tcPr>
          <w:p w:rsidR="00405736" w:rsidRPr="00F301E9" w:rsidRDefault="00405736" w:rsidP="00405736">
            <w:pPr>
              <w:pStyle w:val="TableText"/>
            </w:pPr>
            <w:r w:rsidRPr="00F301E9">
              <w:t xml:space="preserve">ISCA </w:t>
            </w:r>
          </w:p>
        </w:tc>
        <w:tc>
          <w:tcPr>
            <w:tcW w:w="5953" w:type="dxa"/>
            <w:tcBorders>
              <w:top w:val="single" w:sz="4" w:space="0" w:color="A6A6A6" w:themeColor="background1" w:themeShade="A6"/>
              <w:bottom w:val="single" w:sz="4" w:space="0" w:color="A6A6A6" w:themeColor="background1" w:themeShade="A6"/>
            </w:tcBorders>
            <w:hideMark/>
          </w:tcPr>
          <w:p w:rsidR="00405736" w:rsidRPr="00F301E9" w:rsidRDefault="00405736" w:rsidP="00405736">
            <w:pPr>
              <w:pStyle w:val="TableText"/>
            </w:pPr>
            <w:r w:rsidRPr="00F301E9">
              <w:t>Infrastructure Sustainability Council of Australia</w:t>
            </w:r>
          </w:p>
        </w:tc>
      </w:tr>
      <w:tr w:rsidR="00405736" w:rsidRPr="00AE7D97" w:rsidTr="00FE7AAE">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LGA</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 xml:space="preserve">Local Government Area </w:t>
            </w:r>
          </w:p>
        </w:tc>
      </w:tr>
      <w:tr w:rsidR="00405736" w:rsidRPr="00AE7D97" w:rsidTr="00FE7AAE">
        <w:tc>
          <w:tcPr>
            <w:tcW w:w="1426"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LSIO</w:t>
            </w:r>
          </w:p>
        </w:tc>
        <w:tc>
          <w:tcPr>
            <w:tcW w:w="5953" w:type="dxa"/>
            <w:tcBorders>
              <w:top w:val="single" w:sz="4" w:space="0" w:color="A6A6A6" w:themeColor="background1" w:themeShade="A6"/>
              <w:bottom w:val="single" w:sz="4" w:space="0" w:color="A6A6A6" w:themeColor="background1" w:themeShade="A6"/>
            </w:tcBorders>
          </w:tcPr>
          <w:p w:rsidR="00405736" w:rsidRPr="00F301E9" w:rsidRDefault="00405736" w:rsidP="00405736">
            <w:pPr>
              <w:pStyle w:val="TableText"/>
            </w:pPr>
            <w:r w:rsidRPr="00F301E9">
              <w:t>Land Subject to Inundation Overlay</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lastRenderedPageBreak/>
              <w:t>Melbourne Metro</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Melbourne Metro Rail Project</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MMRA</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Melbourne Metro Rail Authority</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t>MTM</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t>Metro Trains Melbourne</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OH&amp;S</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Occupational Health and Safety</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PPP</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Public Private Partnership</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PSA</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Planning Scheme Amendment</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PTV</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Public Transport Victoria</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RMIT</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Royal Melbourne of Institute of Technology University</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t>RRL</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1667C0">
            <w:pPr>
              <w:pStyle w:val="TableText"/>
            </w:pPr>
            <w:r>
              <w:t xml:space="preserve">Regional Rail Link </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SEPP</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State Environment Protection Policy (Victoria)</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TBM</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Tunnel boring machine</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TRG</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Technical Reference Group</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t>USP</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t>Utility service provider</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VHI</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Victorian Heritage Inventory</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VHR</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Victorian Heritage Register</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VCCC</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Victorian Comprehensive Cancer Centre</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VITM</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Victorian Integrated Transport Model</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VKT</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B61B0C" w:rsidP="00405736">
            <w:pPr>
              <w:pStyle w:val="TableText"/>
            </w:pPr>
            <w:r>
              <w:t>V</w:t>
            </w:r>
            <w:r w:rsidR="002D6B9E" w:rsidRPr="00F301E9">
              <w:t xml:space="preserve">ehicle kilometres travelled </w:t>
            </w:r>
          </w:p>
        </w:tc>
      </w:tr>
      <w:tr w:rsidR="002D6B9E" w:rsidRPr="00AE7D97" w:rsidTr="00FE7AAE">
        <w:tc>
          <w:tcPr>
            <w:tcW w:w="1426"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VPPs</w:t>
            </w:r>
          </w:p>
        </w:tc>
        <w:tc>
          <w:tcPr>
            <w:tcW w:w="5953" w:type="dxa"/>
            <w:tcBorders>
              <w:top w:val="single" w:sz="4" w:space="0" w:color="A6A6A6" w:themeColor="background1" w:themeShade="A6"/>
              <w:bottom w:val="single" w:sz="4" w:space="0" w:color="A6A6A6" w:themeColor="background1" w:themeShade="A6"/>
            </w:tcBorders>
          </w:tcPr>
          <w:p w:rsidR="002D6B9E" w:rsidRPr="00F301E9" w:rsidRDefault="002D6B9E" w:rsidP="00405736">
            <w:pPr>
              <w:pStyle w:val="TableText"/>
            </w:pPr>
            <w:r w:rsidRPr="00F301E9">
              <w:t>Victoria Planning Provisions</w:t>
            </w:r>
          </w:p>
        </w:tc>
      </w:tr>
    </w:tbl>
    <w:p w:rsidR="00F301E9" w:rsidRDefault="00F301E9" w:rsidP="00F301E9"/>
    <w:p w:rsidR="00F301E9" w:rsidRDefault="00F301E9" w:rsidP="00F301E9"/>
    <w:p w:rsidR="00F301E9" w:rsidRPr="009F618E" w:rsidRDefault="00F301E9" w:rsidP="00F301E9"/>
    <w:p w:rsidR="00D5712B" w:rsidRPr="00E8345F" w:rsidRDefault="00D5712B" w:rsidP="00F301E9">
      <w:pPr>
        <w:pStyle w:val="BodyText"/>
      </w:pPr>
    </w:p>
    <w:sectPr w:rsidR="00D5712B" w:rsidRPr="00E8345F" w:rsidSect="00773FA3">
      <w:footerReference w:type="even" r:id="rId10"/>
      <w:footerReference w:type="default" r:id="rId11"/>
      <w:headerReference w:type="first" r:id="rId12"/>
      <w:footerReference w:type="first" r:id="rId13"/>
      <w:footnotePr>
        <w:numFmt w:val="chicago"/>
        <w:numRestart w:val="eachPage"/>
      </w:footnotePr>
      <w:type w:val="oddPage"/>
      <w:pgSz w:w="11906" w:h="16838" w:code="9"/>
      <w:pgMar w:top="1701" w:right="1418" w:bottom="1701" w:left="3289" w:header="567" w:footer="567" w:gutter="0"/>
      <w:pgNumType w:start="1"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AB6" w:rsidRDefault="00332AB6" w:rsidP="00A02FC6">
      <w:r>
        <w:separator/>
      </w:r>
    </w:p>
  </w:endnote>
  <w:endnote w:type="continuationSeparator" w:id="0">
    <w:p w:rsidR="00332AB6" w:rsidRDefault="00332AB6" w:rsidP="00A0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8" w:rsidRPr="00184512" w:rsidRDefault="00402348" w:rsidP="00792161">
    <w:pPr>
      <w:pStyle w:val="Footer"/>
      <w:jc w:val="right"/>
    </w:pPr>
    <w:r w:rsidRPr="00293BE9">
      <w:rPr>
        <w:lang w:eastAsia="en-AU"/>
      </w:rPr>
      <mc:AlternateContent>
        <mc:Choice Requires="wps">
          <w:drawing>
            <wp:anchor distT="0" distB="0" distL="114300" distR="114300" simplePos="0" relativeHeight="251691008" behindDoc="0" locked="1" layoutInCell="1" allowOverlap="1" wp14:anchorId="095F8774" wp14:editId="30DC2F14">
              <wp:simplePos x="0" y="0"/>
              <wp:positionH relativeFrom="column">
                <wp:align>left</wp:align>
              </wp:positionH>
              <wp:positionV relativeFrom="paragraph">
                <wp:posOffset>0</wp:posOffset>
              </wp:positionV>
              <wp:extent cx="890649" cy="676894"/>
              <wp:effectExtent l="0" t="0" r="5080" b="10160"/>
              <wp:wrapNone/>
              <wp:docPr id="24" name="Text Box 24"/>
              <wp:cNvGraphicFramePr/>
              <a:graphic xmlns:a="http://schemas.openxmlformats.org/drawingml/2006/main">
                <a:graphicData uri="http://schemas.microsoft.com/office/word/2010/wordprocessingShape">
                  <wps:wsp>
                    <wps:cNvSpPr txBox="1"/>
                    <wps:spPr>
                      <a:xfrm>
                        <a:off x="0" y="0"/>
                        <a:ext cx="890649" cy="6768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2348" w:rsidRPr="00671047" w:rsidRDefault="00402348" w:rsidP="000E2CE8">
                          <w:pPr>
                            <w:pStyle w:val="PageNo"/>
                            <w:jc w:val="left"/>
                          </w:pPr>
                          <w:r>
                            <w:t>G–</w:t>
                          </w:r>
                          <w:r w:rsidRPr="00671047">
                            <w:fldChar w:fldCharType="begin"/>
                          </w:r>
                          <w:r w:rsidRPr="00671047">
                            <w:instrText xml:space="preserve"> PAGE   \* MERGEFORMAT </w:instrText>
                          </w:r>
                          <w:r w:rsidRPr="00671047">
                            <w:fldChar w:fldCharType="separate"/>
                          </w:r>
                          <w:r w:rsidR="006A077B">
                            <w:t>6</w:t>
                          </w:r>
                          <w:r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095F8774" id="_x0000_t202" coordsize="21600,21600" o:spt="202" path="m,l,21600r21600,l21600,xe">
              <v:stroke joinstyle="miter"/>
              <v:path gradientshapeok="t" o:connecttype="rect"/>
            </v:shapetype>
            <v:shape id="Text Box 24" o:spid="_x0000_s1026" type="#_x0000_t202" style="position:absolute;left:0;text-align:left;margin-left:0;margin-top:0;width:70.15pt;height:53.3pt;z-index:251691008;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" filled="f" stroked="f" strokeweight=".5pt">
              <v:textbox style="mso-fit-shape-to-text:t" inset="0,0,0,0">
                <w:txbxContent>
                  <w:p w:rsidR="00402348" w:rsidRPr="00671047" w:rsidRDefault="00402348" w:rsidP="000E2CE8">
                    <w:pPr>
                      <w:pStyle w:val="PageNo"/>
                      <w:jc w:val="left"/>
                    </w:pPr>
                    <w:r>
                      <w:t>G–</w:t>
                    </w:r>
                    <w:r w:rsidRPr="00671047">
                      <w:fldChar w:fldCharType="begin"/>
                    </w:r>
                    <w:r w:rsidRPr="00671047">
                      <w:instrText xml:space="preserve"> PAGE   \* MERGEFORMAT </w:instrText>
                    </w:r>
                    <w:r w:rsidRPr="00671047">
                      <w:fldChar w:fldCharType="separate"/>
                    </w:r>
                    <w:r w:rsidR="006A077B">
                      <w:t>6</w:t>
                    </w:r>
                    <w:r w:rsidRPr="00671047">
                      <w:fldChar w:fldCharType="end"/>
                    </w:r>
                  </w:p>
                </w:txbxContent>
              </v:textbox>
              <w10:anchorlock/>
            </v:shape>
          </w:pict>
        </mc:Fallback>
      </mc:AlternateContent>
    </w: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77B" w:rsidRPr="00184512" w:rsidRDefault="006A077B" w:rsidP="00D80A9E">
    <w:pPr>
      <w:pStyle w:val="Footer"/>
    </w:pP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sidRPr="00293BE9">
      <w:rPr>
        <w:lang w:eastAsia="en-AU"/>
      </w:rPr>
      <mc:AlternateContent>
        <mc:Choice Requires="wps">
          <w:drawing>
            <wp:anchor distT="0" distB="0" distL="114300" distR="114300" simplePos="0" relativeHeight="251693056" behindDoc="0" locked="1" layoutInCell="1" allowOverlap="1" wp14:anchorId="5DDE178B" wp14:editId="2C3A1493">
              <wp:simplePos x="0" y="0"/>
              <wp:positionH relativeFrom="rightMargin">
                <wp:posOffset>-900430</wp:posOffset>
              </wp:positionH>
              <wp:positionV relativeFrom="paragraph">
                <wp:posOffset>0</wp:posOffset>
              </wp:positionV>
              <wp:extent cx="899808" cy="671208"/>
              <wp:effectExtent l="0" t="0" r="14605" b="14605"/>
              <wp:wrapNone/>
              <wp:docPr id="3" name="Text Box 3"/>
              <wp:cNvGraphicFramePr/>
              <a:graphic xmlns:a="http://schemas.openxmlformats.org/drawingml/2006/main">
                <a:graphicData uri="http://schemas.microsoft.com/office/word/2010/wordprocessingShape">
                  <wps:wsp>
                    <wps:cNvSpPr txBox="1"/>
                    <wps:spPr>
                      <a:xfrm>
                        <a:off x="0" y="0"/>
                        <a:ext cx="899808" cy="6712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77B" w:rsidRPr="00671047" w:rsidRDefault="006A077B" w:rsidP="00D80A9E">
                          <w:pPr>
                            <w:pStyle w:val="PageNo"/>
                          </w:pPr>
                          <w:r>
                            <w:t>G–</w:t>
                          </w:r>
                          <w:r w:rsidRPr="00671047">
                            <w:fldChar w:fldCharType="begin"/>
                          </w:r>
                          <w:r w:rsidRPr="00671047">
                            <w:instrText xml:space="preserve"> PAGE   \* MERGEFORMAT </w:instrText>
                          </w:r>
                          <w:r w:rsidRPr="00671047">
                            <w:fldChar w:fldCharType="separate"/>
                          </w:r>
                          <w:r>
                            <w:t>3</w:t>
                          </w:r>
                          <w:r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5DDE178B" id="_x0000_t202" coordsize="21600,21600" o:spt="202" path="m,l,21600r21600,l21600,xe">
              <v:stroke joinstyle="miter"/>
              <v:path gradientshapeok="t" o:connecttype="rect"/>
            </v:shapetype>
            <v:shape id="Text Box 3" o:spid="_x0000_s1027" type="#_x0000_t202" style="position:absolute;margin-left:-70.9pt;margin-top:0;width:70.85pt;height:52.85pt;z-index:25169305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" filled="f" stroked="f" strokeweight=".5pt">
              <v:textbox style="mso-fit-shape-to-text:t" inset="0,0,0,0">
                <w:txbxContent>
                  <w:p w:rsidR="006A077B" w:rsidRPr="00671047" w:rsidRDefault="006A077B" w:rsidP="00D80A9E">
                    <w:pPr>
                      <w:pStyle w:val="PageNo"/>
                    </w:pPr>
                    <w:r>
                      <w:t>G–</w:t>
                    </w:r>
                    <w:r w:rsidRPr="00671047">
                      <w:fldChar w:fldCharType="begin"/>
                    </w:r>
                    <w:r w:rsidRPr="00671047">
                      <w:instrText xml:space="preserve"> PAGE   \* MERGEFORMAT </w:instrText>
                    </w:r>
                    <w:r w:rsidRPr="00671047">
                      <w:fldChar w:fldCharType="separate"/>
                    </w:r>
                    <w:r>
                      <w:t>3</w:t>
                    </w:r>
                    <w:r w:rsidRPr="00671047">
                      <w:fldChar w:fldCharType="end"/>
                    </w:r>
                  </w:p>
                </w:txbxContent>
              </v:textbox>
              <w10:wrap anchorx="margin"/>
              <w10:anchorlock/>
            </v:shape>
          </w:pict>
        </mc:Fallback>
      </mc:AlternateContent>
    </w:r>
    <w:r>
      <w:rPr>
        <w:color w:val="00BAD4" w:themeColor="text2"/>
      </w:rPr>
      <w:t>Environment Effects Statement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8" w:rsidRDefault="00402348" w:rsidP="00891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AB6" w:rsidRDefault="00332AB6" w:rsidP="0036083B">
      <w:pPr>
        <w:spacing w:before="360"/>
      </w:pPr>
      <w:r>
        <w:separator/>
      </w:r>
    </w:p>
  </w:footnote>
  <w:footnote w:type="continuationSeparator" w:id="0">
    <w:p w:rsidR="00332AB6" w:rsidRDefault="00332AB6" w:rsidP="0036083B">
      <w:pPr>
        <w:spacing w:before="360"/>
      </w:pPr>
      <w:r>
        <w:continuationSeparator/>
      </w:r>
    </w:p>
  </w:footnote>
  <w:footnote w:type="continuationNotice" w:id="1">
    <w:p w:rsidR="00332AB6" w:rsidRDefault="00332AB6" w:rsidP="00A02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8" w:rsidRDefault="00402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D469FF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F3CC254"/>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8918F3B2"/>
    <w:lvl w:ilvl="0">
      <w:start w:val="1"/>
      <w:numFmt w:val="decimal"/>
      <w:pStyle w:val="ListNumber"/>
      <w:lvlText w:val="%1."/>
      <w:lvlJc w:val="left"/>
      <w:pPr>
        <w:tabs>
          <w:tab w:val="num" w:pos="360"/>
        </w:tabs>
        <w:ind w:left="360" w:hanging="360"/>
      </w:pPr>
    </w:lvl>
  </w:abstractNum>
  <w:abstractNum w:abstractNumId="3" w15:restartNumberingAfterBreak="0">
    <w:nsid w:val="076E438D"/>
    <w:multiLevelType w:val="multilevel"/>
    <w:tmpl w:val="CFE88260"/>
    <w:lvl w:ilvl="0">
      <w:start w:val="1"/>
      <w:numFmt w:val="decimal"/>
      <w:pStyle w:val="Heading1"/>
      <w:lvlText w:val="%1"/>
      <w:lvlJc w:val="left"/>
      <w:pPr>
        <w:ind w:left="851" w:hanging="851"/>
      </w:pPr>
      <w:rPr>
        <w:rFonts w:hint="default"/>
        <w:color w:val="E52923" w:themeColor="background2"/>
      </w:rPr>
    </w:lvl>
    <w:lvl w:ilvl="1">
      <w:start w:val="1"/>
      <w:numFmt w:val="decimal"/>
      <w:pStyle w:val="Heading2"/>
      <w:lvlText w:val="%1.%2"/>
      <w:lvlJc w:val="left"/>
      <w:pPr>
        <w:ind w:left="1134" w:hanging="1134"/>
      </w:pPr>
      <w:rPr>
        <w:rFonts w:hint="default"/>
        <w:color w:val="00BAD4" w:themeColor="text2"/>
      </w:rPr>
    </w:lvl>
    <w:lvl w:ilvl="2">
      <w:start w:val="1"/>
      <w:numFmt w:val="decimal"/>
      <w:pStyle w:val="Heading3"/>
      <w:lvlText w:val="%1.%2.%3"/>
      <w:lvlJc w:val="left"/>
      <w:pPr>
        <w:ind w:left="1418" w:hanging="1418"/>
      </w:pPr>
      <w:rPr>
        <w:rFonts w:hint="default"/>
        <w:color w:val="796E65" w:themeColor="accent4"/>
      </w:rPr>
    </w:lvl>
    <w:lvl w:ilvl="3">
      <w:start w:val="1"/>
      <w:numFmt w:val="none"/>
      <w:pStyle w:val="Heading4"/>
      <w:suff w:val="nothing"/>
      <w:lvlText w:val=""/>
      <w:lvlJc w:val="left"/>
      <w:pPr>
        <w:ind w:left="0" w:firstLine="0"/>
      </w:pPr>
      <w:rPr>
        <w:rFonts w:hint="default"/>
        <w:color w:val="796E65" w:themeColor="accent4"/>
      </w:rPr>
    </w:lvl>
    <w:lvl w:ilvl="4">
      <w:start w:val="1"/>
      <w:numFmt w:val="upperLetter"/>
      <w:lvlRestart w:val="1"/>
      <w:pStyle w:val="Heading7"/>
      <w:lvlText w:val="Appendix %5"/>
      <w:lvlJc w:val="left"/>
      <w:pPr>
        <w:ind w:left="2552" w:hanging="2552"/>
      </w:pPr>
      <w:rPr>
        <w:rFonts w:hint="default"/>
        <w:color w:val="E52923" w:themeColor="background2"/>
      </w:rPr>
    </w:lvl>
    <w:lvl w:ilvl="5">
      <w:start w:val="1"/>
      <w:numFmt w:val="decimal"/>
      <w:pStyle w:val="Heading8"/>
      <w:lvlText w:val="%5.%6"/>
      <w:lvlJc w:val="left"/>
      <w:pPr>
        <w:ind w:left="1134" w:hanging="1134"/>
      </w:pPr>
      <w:rPr>
        <w:rFonts w:hint="default"/>
        <w:color w:val="00BAD4" w:themeColor="text2"/>
      </w:rPr>
    </w:lvl>
    <w:lvl w:ilvl="6">
      <w:start w:val="1"/>
      <w:numFmt w:val="decimal"/>
      <w:lvlRestart w:val="0"/>
      <w:pStyle w:val="Heading9"/>
      <w:lvlText w:val="%5.%6.%7"/>
      <w:lvlJc w:val="left"/>
      <w:pPr>
        <w:ind w:left="1134" w:hanging="1134"/>
      </w:pPr>
      <w:rPr>
        <w:rFonts w:hint="default"/>
        <w:color w:val="796E65" w:themeColor="accent4"/>
      </w:rPr>
    </w:lvl>
    <w:lvl w:ilvl="7">
      <w:start w:val="1"/>
      <w:numFmt w:val="none"/>
      <w:lvlRestart w:val="0"/>
      <w:suff w:val="nothing"/>
      <w:lvlText w:val=""/>
      <w:lvlJc w:val="left"/>
      <w:pPr>
        <w:ind w:left="0" w:firstLine="0"/>
      </w:pPr>
      <w:rPr>
        <w:rFonts w:hint="default"/>
        <w:color w:val="00BAD4" w:themeColor="text2"/>
      </w:rPr>
    </w:lvl>
    <w:lvl w:ilvl="8">
      <w:start w:val="1"/>
      <w:numFmt w:val="none"/>
      <w:lvlRestart w:val="0"/>
      <w:suff w:val="nothing"/>
      <w:lvlText w:val=""/>
      <w:lvlJc w:val="left"/>
      <w:pPr>
        <w:ind w:left="0" w:firstLine="0"/>
      </w:pPr>
      <w:rPr>
        <w:rFonts w:hint="default"/>
        <w:color w:val="00BAD4" w:themeColor="text2"/>
      </w:rPr>
    </w:lvl>
  </w:abstractNum>
  <w:abstractNum w:abstractNumId="4" w15:restartNumberingAfterBreak="0">
    <w:nsid w:val="0D7D2843"/>
    <w:multiLevelType w:val="multilevel"/>
    <w:tmpl w:val="7DCEB87C"/>
    <w:lvl w:ilvl="0">
      <w:start w:val="1"/>
      <w:numFmt w:val="bullet"/>
      <w:pStyle w:val="TableBullet1"/>
      <w:lvlText w:val=""/>
      <w:lvlJc w:val="left"/>
      <w:pPr>
        <w:ind w:left="340" w:hanging="340"/>
      </w:pPr>
      <w:rPr>
        <w:rFonts w:ascii="Symbol" w:hAnsi="Symbol" w:hint="default"/>
        <w:b w:val="0"/>
        <w:i w:val="0"/>
        <w:color w:val="000000" w:themeColor="text1"/>
        <w:sz w:val="18"/>
      </w:rPr>
    </w:lvl>
    <w:lvl w:ilvl="1">
      <w:start w:val="1"/>
      <w:numFmt w:val="bullet"/>
      <w:pStyle w:val="TableBullet2"/>
      <w:lvlText w:val="–"/>
      <w:lvlJc w:val="left"/>
      <w:pPr>
        <w:ind w:left="680" w:hanging="340"/>
      </w:pPr>
      <w:rPr>
        <w:rFonts w:hint="default"/>
        <w:b w:val="0"/>
        <w:i w:val="0"/>
        <w:color w:val="000000" w:themeColor="text1"/>
        <w:sz w:val="18"/>
      </w:rPr>
    </w:lvl>
    <w:lvl w:ilvl="2">
      <w:start w:val="1"/>
      <w:numFmt w:val="bullet"/>
      <w:pStyle w:val="TableBullet3"/>
      <w:lvlText w:val="-"/>
      <w:lvlJc w:val="left"/>
      <w:pPr>
        <w:ind w:left="1020" w:hanging="340"/>
      </w:pPr>
      <w:rPr>
        <w:rFonts w:hint="default"/>
        <w:b w:val="0"/>
        <w:i w:val="0"/>
        <w:color w:val="000000" w:themeColor="text1"/>
        <w:sz w:val="18"/>
      </w:rPr>
    </w:lvl>
    <w:lvl w:ilvl="3">
      <w:start w:val="1"/>
      <w:numFmt w:val="decimal"/>
      <w:pStyle w:val="TableNumbering1"/>
      <w:lvlText w:val="%4"/>
      <w:lvlJc w:val="left"/>
      <w:pPr>
        <w:ind w:left="340" w:hanging="340"/>
      </w:pPr>
      <w:rPr>
        <w:rFonts w:hint="default"/>
        <w:color w:val="000000" w:themeColor="text1"/>
      </w:rPr>
    </w:lvl>
    <w:lvl w:ilvl="4">
      <w:start w:val="1"/>
      <w:numFmt w:val="lowerLetter"/>
      <w:pStyle w:val="TableNumbering2"/>
      <w:lvlText w:val="%5"/>
      <w:lvlJc w:val="left"/>
      <w:pPr>
        <w:ind w:left="680" w:hanging="340"/>
      </w:pPr>
      <w:rPr>
        <w:rFonts w:hint="default"/>
        <w:color w:val="000000" w:themeColor="text1"/>
      </w:rPr>
    </w:lvl>
    <w:lvl w:ilvl="5">
      <w:start w:val="1"/>
      <w:numFmt w:val="lowerRoman"/>
      <w:pStyle w:val="TableNumbering3"/>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5" w15:restartNumberingAfterBreak="0">
    <w:nsid w:val="146F0A77"/>
    <w:multiLevelType w:val="multilevel"/>
    <w:tmpl w:val="F3908CAE"/>
    <w:lvl w:ilvl="0">
      <w:start w:val="1"/>
      <w:numFmt w:val="bullet"/>
      <w:pStyle w:val="ListBullet"/>
      <w:lvlText w:val=""/>
      <w:lvlJc w:val="left"/>
      <w:pPr>
        <w:ind w:left="340" w:hanging="340"/>
      </w:pPr>
      <w:rPr>
        <w:rFonts w:ascii="Symbol" w:hAnsi="Symbol" w:hint="default"/>
        <w:b w:val="0"/>
        <w:i w:val="0"/>
        <w:color w:val="auto"/>
      </w:rPr>
    </w:lvl>
    <w:lvl w:ilvl="1">
      <w:start w:val="1"/>
      <w:numFmt w:val="bullet"/>
      <w:pStyle w:val="ListBullet2"/>
      <w:lvlText w:val=""/>
      <w:lvlJc w:val="left"/>
      <w:pPr>
        <w:ind w:left="680" w:hanging="340"/>
      </w:pPr>
      <w:rPr>
        <w:rFonts w:ascii="Symbol" w:hAnsi="Symbol" w:hint="default"/>
        <w:b w:val="0"/>
        <w:i w:val="0"/>
        <w:color w:val="auto"/>
      </w:rPr>
    </w:lvl>
    <w:lvl w:ilvl="2">
      <w:start w:val="1"/>
      <w:numFmt w:val="bullet"/>
      <w:pStyle w:val="ListBullet3"/>
      <w:lvlText w:val=""/>
      <w:lvlJc w:val="left"/>
      <w:pPr>
        <w:ind w:left="1021" w:hanging="341"/>
      </w:pPr>
      <w:rPr>
        <w:rFonts w:ascii="Symbol" w:hAnsi="Symbol"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D62F30"/>
    <w:multiLevelType w:val="hybridMultilevel"/>
    <w:tmpl w:val="17463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153154D"/>
    <w:multiLevelType w:val="hybridMultilevel"/>
    <w:tmpl w:val="D2C46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43C2B58"/>
    <w:multiLevelType w:val="hybridMultilevel"/>
    <w:tmpl w:val="20ACD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94B3042"/>
    <w:multiLevelType w:val="multilevel"/>
    <w:tmpl w:val="CA4E8D06"/>
    <w:lvl w:ilvl="0">
      <w:start w:val="1"/>
      <w:numFmt w:val="none"/>
      <w:pStyle w:val="TableText"/>
      <w:suff w:val="nothing"/>
      <w:lvlText w:val=""/>
      <w:lvlJc w:val="left"/>
      <w:pPr>
        <w:ind w:left="0" w:firstLine="0"/>
      </w:pPr>
      <w:rPr>
        <w:rFonts w:hint="default"/>
      </w:rPr>
    </w:lvl>
    <w:lvl w:ilvl="1">
      <w:start w:val="1"/>
      <w:numFmt w:val="decimal"/>
      <w:lvlText w:val="%2"/>
      <w:lvlJc w:val="left"/>
      <w:pPr>
        <w:ind w:left="340" w:hanging="340"/>
      </w:pPr>
      <w:rPr>
        <w:rFonts w:hint="default"/>
        <w:color w:val="C4D92E" w:themeColor="accent1"/>
      </w:rPr>
    </w:lvl>
    <w:lvl w:ilvl="2">
      <w:start w:val="1"/>
      <w:numFmt w:val="lowerLetter"/>
      <w:lvlText w:val="%3"/>
      <w:lvlJc w:val="left"/>
      <w:pPr>
        <w:ind w:left="680" w:hanging="340"/>
      </w:pPr>
      <w:rPr>
        <w:rFonts w:hint="default"/>
        <w:color w:val="C4D92E" w:themeColor="accent1"/>
      </w:rPr>
    </w:lvl>
    <w:lvl w:ilvl="3">
      <w:start w:val="1"/>
      <w:numFmt w:val="lowerRoman"/>
      <w:lvlText w:val="%4"/>
      <w:lvlJc w:val="left"/>
      <w:pPr>
        <w:ind w:left="1021" w:hanging="341"/>
      </w:pPr>
      <w:rPr>
        <w:rFonts w:hint="default"/>
        <w:color w:val="C4D92E"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6FF67ADD"/>
    <w:multiLevelType w:val="multilevel"/>
    <w:tmpl w:val="4D88C828"/>
    <w:lvl w:ilvl="0">
      <w:start w:val="1"/>
      <w:numFmt w:val="bullet"/>
      <w:pStyle w:val="BodyBullet1"/>
      <w:lvlText w:val=""/>
      <w:lvlJc w:val="left"/>
      <w:pPr>
        <w:ind w:left="340" w:hanging="340"/>
      </w:pPr>
      <w:rPr>
        <w:rFonts w:ascii="Symbol" w:hAnsi="Symbol" w:hint="default"/>
        <w:b w:val="0"/>
        <w:i w:val="0"/>
        <w:color w:val="000000" w:themeColor="text1"/>
        <w:sz w:val="22"/>
      </w:rPr>
    </w:lvl>
    <w:lvl w:ilvl="1">
      <w:start w:val="1"/>
      <w:numFmt w:val="bullet"/>
      <w:pStyle w:val="BodyBullet2"/>
      <w:lvlText w:val="–"/>
      <w:lvlJc w:val="left"/>
      <w:pPr>
        <w:ind w:left="680" w:hanging="340"/>
      </w:pPr>
      <w:rPr>
        <w:rFonts w:hint="default"/>
        <w:b w:val="0"/>
        <w:i w:val="0"/>
        <w:color w:val="000000" w:themeColor="text1"/>
        <w:sz w:val="22"/>
      </w:rPr>
    </w:lvl>
    <w:lvl w:ilvl="2">
      <w:start w:val="1"/>
      <w:numFmt w:val="bullet"/>
      <w:pStyle w:val="BodyBullet3"/>
      <w:lvlText w:val="-"/>
      <w:lvlJc w:val="left"/>
      <w:pPr>
        <w:ind w:left="1020" w:hanging="340"/>
      </w:pPr>
      <w:rPr>
        <w:rFonts w:hint="default"/>
        <w:b w:val="0"/>
        <w:i w:val="0"/>
        <w:color w:val="000000" w:themeColor="text1"/>
        <w:sz w:val="22"/>
        <w:szCs w:val="28"/>
      </w:rPr>
    </w:lvl>
    <w:lvl w:ilvl="3">
      <w:start w:val="1"/>
      <w:numFmt w:val="decimal"/>
      <w:pStyle w:val="BodyNumbering1"/>
      <w:lvlText w:val="%4"/>
      <w:lvlJc w:val="left"/>
      <w:pPr>
        <w:ind w:left="340" w:hanging="340"/>
      </w:pPr>
      <w:rPr>
        <w:rFonts w:hint="default"/>
        <w:color w:val="000000" w:themeColor="text1"/>
      </w:rPr>
    </w:lvl>
    <w:lvl w:ilvl="4">
      <w:start w:val="1"/>
      <w:numFmt w:val="lowerLetter"/>
      <w:pStyle w:val="BodyNumbering2"/>
      <w:lvlText w:val="%5"/>
      <w:lvlJc w:val="left"/>
      <w:pPr>
        <w:ind w:left="680" w:hanging="340"/>
      </w:pPr>
      <w:rPr>
        <w:rFonts w:hint="default"/>
        <w:color w:val="000000" w:themeColor="text1"/>
      </w:rPr>
    </w:lvl>
    <w:lvl w:ilvl="5">
      <w:start w:val="1"/>
      <w:numFmt w:val="lowerRoman"/>
      <w:pStyle w:val="BodyNumbering3"/>
      <w:lvlText w:val="%6%1"/>
      <w:lvlJc w:val="left"/>
      <w:pPr>
        <w:ind w:left="1021" w:hanging="341"/>
      </w:pPr>
      <w:rPr>
        <w:rFonts w:hint="default"/>
        <w:color w:val="000000" w:themeColor="text1"/>
      </w:rPr>
    </w:lvl>
    <w:lvl w:ilvl="6">
      <w:start w:val="1"/>
      <w:numFmt w:val="none"/>
      <w:suff w:val="nothing"/>
      <w:lvlText w:val=""/>
      <w:lvlJc w:val="left"/>
      <w:pPr>
        <w:ind w:left="0" w:firstLine="0"/>
      </w:pPr>
      <w:rPr>
        <w:rFonts w:hint="default"/>
        <w:color w:val="C4D92E" w:themeColor="accent1"/>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num w:numId="1">
    <w:abstractNumId w:val="5"/>
  </w:num>
  <w:num w:numId="2">
    <w:abstractNumId w:val="2"/>
  </w:num>
  <w:num w:numId="3">
    <w:abstractNumId w:val="1"/>
  </w:num>
  <w:num w:numId="4">
    <w:abstractNumId w:val="0"/>
  </w:num>
  <w:num w:numId="5">
    <w:abstractNumId w:val="10"/>
  </w:num>
  <w:num w:numId="6">
    <w:abstractNumId w:val="4"/>
  </w:num>
  <w:num w:numId="7">
    <w:abstractNumId w:val="9"/>
  </w:num>
  <w:num w:numId="8">
    <w:abstractNumId w:val="3"/>
  </w:num>
  <w:num w:numId="9">
    <w:abstractNumId w:val="6"/>
  </w:num>
  <w:num w:numId="10">
    <w:abstractNumId w:val="7"/>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styleLockTheme/>
  <w:styleLockQFSet/>
  <w:defaultTabStop w:val="720"/>
  <w:evenAndOddHeaders/>
  <w:characterSpacingControl w:val="doNotCompress"/>
  <w:hdrShapeDefaults>
    <o:shapedefaults v:ext="edit" spidmax="2049"/>
  </w:hdrShapeDefaults>
  <w:footnotePr>
    <w:numFmt w:val="chicago"/>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63"/>
    <w:rsid w:val="00003622"/>
    <w:rsid w:val="00013C24"/>
    <w:rsid w:val="00014A01"/>
    <w:rsid w:val="00017047"/>
    <w:rsid w:val="00021CEC"/>
    <w:rsid w:val="00023787"/>
    <w:rsid w:val="00025963"/>
    <w:rsid w:val="000267FC"/>
    <w:rsid w:val="00027AFC"/>
    <w:rsid w:val="00030198"/>
    <w:rsid w:val="000303C6"/>
    <w:rsid w:val="00036C14"/>
    <w:rsid w:val="00037D07"/>
    <w:rsid w:val="0004094D"/>
    <w:rsid w:val="00044695"/>
    <w:rsid w:val="0004776D"/>
    <w:rsid w:val="00047F4F"/>
    <w:rsid w:val="00050881"/>
    <w:rsid w:val="00050AF0"/>
    <w:rsid w:val="00053ED4"/>
    <w:rsid w:val="000639E5"/>
    <w:rsid w:val="00070A2B"/>
    <w:rsid w:val="0007669C"/>
    <w:rsid w:val="00080123"/>
    <w:rsid w:val="00083077"/>
    <w:rsid w:val="00095E7F"/>
    <w:rsid w:val="00096257"/>
    <w:rsid w:val="00097274"/>
    <w:rsid w:val="000A247E"/>
    <w:rsid w:val="000A4DFB"/>
    <w:rsid w:val="000A661C"/>
    <w:rsid w:val="000B5B9F"/>
    <w:rsid w:val="000B5D48"/>
    <w:rsid w:val="000B5E04"/>
    <w:rsid w:val="000B7555"/>
    <w:rsid w:val="000C0031"/>
    <w:rsid w:val="000C210D"/>
    <w:rsid w:val="000C2DBD"/>
    <w:rsid w:val="000C3B1C"/>
    <w:rsid w:val="000C4409"/>
    <w:rsid w:val="000C5AB3"/>
    <w:rsid w:val="000C6688"/>
    <w:rsid w:val="000C7280"/>
    <w:rsid w:val="000C7A90"/>
    <w:rsid w:val="000D0DB0"/>
    <w:rsid w:val="000D16A5"/>
    <w:rsid w:val="000D255B"/>
    <w:rsid w:val="000D4CE8"/>
    <w:rsid w:val="000D709B"/>
    <w:rsid w:val="000E0B71"/>
    <w:rsid w:val="000E1DAB"/>
    <w:rsid w:val="000E2CE8"/>
    <w:rsid w:val="000F2147"/>
    <w:rsid w:val="000F3515"/>
    <w:rsid w:val="000F5477"/>
    <w:rsid w:val="000F65AF"/>
    <w:rsid w:val="00100D55"/>
    <w:rsid w:val="00105D1D"/>
    <w:rsid w:val="001078E8"/>
    <w:rsid w:val="001130DB"/>
    <w:rsid w:val="0011570F"/>
    <w:rsid w:val="00116DDF"/>
    <w:rsid w:val="00117B0A"/>
    <w:rsid w:val="00120813"/>
    <w:rsid w:val="00120DF1"/>
    <w:rsid w:val="00122FCC"/>
    <w:rsid w:val="00123162"/>
    <w:rsid w:val="001234E9"/>
    <w:rsid w:val="00124A1C"/>
    <w:rsid w:val="001256AF"/>
    <w:rsid w:val="0012791D"/>
    <w:rsid w:val="001320D7"/>
    <w:rsid w:val="0013218F"/>
    <w:rsid w:val="0013239B"/>
    <w:rsid w:val="00132E97"/>
    <w:rsid w:val="001331C9"/>
    <w:rsid w:val="00142291"/>
    <w:rsid w:val="00143C7D"/>
    <w:rsid w:val="00144BBA"/>
    <w:rsid w:val="00147E56"/>
    <w:rsid w:val="00150F46"/>
    <w:rsid w:val="00153CF5"/>
    <w:rsid w:val="001561A4"/>
    <w:rsid w:val="001574D4"/>
    <w:rsid w:val="00157ECB"/>
    <w:rsid w:val="00163CED"/>
    <w:rsid w:val="001667C0"/>
    <w:rsid w:val="001668AB"/>
    <w:rsid w:val="00172168"/>
    <w:rsid w:val="00173811"/>
    <w:rsid w:val="00174B84"/>
    <w:rsid w:val="00174C76"/>
    <w:rsid w:val="00174E12"/>
    <w:rsid w:val="00181925"/>
    <w:rsid w:val="00181A7E"/>
    <w:rsid w:val="0018300B"/>
    <w:rsid w:val="00184512"/>
    <w:rsid w:val="00192F51"/>
    <w:rsid w:val="00193F15"/>
    <w:rsid w:val="0019472B"/>
    <w:rsid w:val="00196EC8"/>
    <w:rsid w:val="001976D2"/>
    <w:rsid w:val="001A181E"/>
    <w:rsid w:val="001A75E1"/>
    <w:rsid w:val="001A76AF"/>
    <w:rsid w:val="001A78B0"/>
    <w:rsid w:val="001B30F7"/>
    <w:rsid w:val="001B5D17"/>
    <w:rsid w:val="001C1A26"/>
    <w:rsid w:val="001C1E5B"/>
    <w:rsid w:val="001C5EC2"/>
    <w:rsid w:val="001C6171"/>
    <w:rsid w:val="001D25DA"/>
    <w:rsid w:val="001D3204"/>
    <w:rsid w:val="001D3B17"/>
    <w:rsid w:val="001D5354"/>
    <w:rsid w:val="001D5F37"/>
    <w:rsid w:val="001D6464"/>
    <w:rsid w:val="001D6821"/>
    <w:rsid w:val="001D6F2D"/>
    <w:rsid w:val="001D7741"/>
    <w:rsid w:val="001E013A"/>
    <w:rsid w:val="001E11E4"/>
    <w:rsid w:val="001E2899"/>
    <w:rsid w:val="001E533C"/>
    <w:rsid w:val="001E7FC7"/>
    <w:rsid w:val="001F3F88"/>
    <w:rsid w:val="001F571B"/>
    <w:rsid w:val="001F6AA8"/>
    <w:rsid w:val="001F6DF9"/>
    <w:rsid w:val="001F76EB"/>
    <w:rsid w:val="002021BF"/>
    <w:rsid w:val="00203929"/>
    <w:rsid w:val="0020399A"/>
    <w:rsid w:val="00204431"/>
    <w:rsid w:val="00204EE2"/>
    <w:rsid w:val="00207206"/>
    <w:rsid w:val="0021028A"/>
    <w:rsid w:val="002114BE"/>
    <w:rsid w:val="00212BA8"/>
    <w:rsid w:val="00213EDF"/>
    <w:rsid w:val="00214211"/>
    <w:rsid w:val="00217987"/>
    <w:rsid w:val="00220CDD"/>
    <w:rsid w:val="00222DEB"/>
    <w:rsid w:val="00223672"/>
    <w:rsid w:val="00224918"/>
    <w:rsid w:val="00224E65"/>
    <w:rsid w:val="002254D9"/>
    <w:rsid w:val="00225548"/>
    <w:rsid w:val="00237A77"/>
    <w:rsid w:val="0024199C"/>
    <w:rsid w:val="002469F2"/>
    <w:rsid w:val="0025023D"/>
    <w:rsid w:val="00252B98"/>
    <w:rsid w:val="00253B4A"/>
    <w:rsid w:val="0025542C"/>
    <w:rsid w:val="002561AD"/>
    <w:rsid w:val="0025787E"/>
    <w:rsid w:val="002609FD"/>
    <w:rsid w:val="00264D6B"/>
    <w:rsid w:val="00265073"/>
    <w:rsid w:val="0027245C"/>
    <w:rsid w:val="00273E4A"/>
    <w:rsid w:val="002811F9"/>
    <w:rsid w:val="00281BBF"/>
    <w:rsid w:val="00282B57"/>
    <w:rsid w:val="00283B87"/>
    <w:rsid w:val="002867A7"/>
    <w:rsid w:val="00292A4F"/>
    <w:rsid w:val="00292D2A"/>
    <w:rsid w:val="0029345C"/>
    <w:rsid w:val="00293BE9"/>
    <w:rsid w:val="002948A8"/>
    <w:rsid w:val="00294914"/>
    <w:rsid w:val="0029614E"/>
    <w:rsid w:val="002A05B1"/>
    <w:rsid w:val="002A1342"/>
    <w:rsid w:val="002A4AF1"/>
    <w:rsid w:val="002B282F"/>
    <w:rsid w:val="002B4B77"/>
    <w:rsid w:val="002B65E9"/>
    <w:rsid w:val="002B6EF0"/>
    <w:rsid w:val="002C1713"/>
    <w:rsid w:val="002C2990"/>
    <w:rsid w:val="002C3FA1"/>
    <w:rsid w:val="002C555F"/>
    <w:rsid w:val="002D0DF5"/>
    <w:rsid w:val="002D22B9"/>
    <w:rsid w:val="002D310F"/>
    <w:rsid w:val="002D3A61"/>
    <w:rsid w:val="002D5278"/>
    <w:rsid w:val="002D6B9E"/>
    <w:rsid w:val="002D7DF0"/>
    <w:rsid w:val="002E0392"/>
    <w:rsid w:val="002E07FE"/>
    <w:rsid w:val="002E0BB9"/>
    <w:rsid w:val="002E2BC7"/>
    <w:rsid w:val="002E3267"/>
    <w:rsid w:val="002E3E20"/>
    <w:rsid w:val="002E6F57"/>
    <w:rsid w:val="002F05B7"/>
    <w:rsid w:val="002F12AE"/>
    <w:rsid w:val="002F30E8"/>
    <w:rsid w:val="002F3E9C"/>
    <w:rsid w:val="002F4826"/>
    <w:rsid w:val="00302352"/>
    <w:rsid w:val="0030354A"/>
    <w:rsid w:val="003103FD"/>
    <w:rsid w:val="003108F5"/>
    <w:rsid w:val="003109B3"/>
    <w:rsid w:val="00312040"/>
    <w:rsid w:val="0031364F"/>
    <w:rsid w:val="00315FBA"/>
    <w:rsid w:val="00320991"/>
    <w:rsid w:val="00320D25"/>
    <w:rsid w:val="00320F05"/>
    <w:rsid w:val="00321B47"/>
    <w:rsid w:val="00323E9D"/>
    <w:rsid w:val="00325F4E"/>
    <w:rsid w:val="00330302"/>
    <w:rsid w:val="00332763"/>
    <w:rsid w:val="00332AB6"/>
    <w:rsid w:val="0033435B"/>
    <w:rsid w:val="003365C1"/>
    <w:rsid w:val="003401A7"/>
    <w:rsid w:val="00340F11"/>
    <w:rsid w:val="0034583A"/>
    <w:rsid w:val="003461B7"/>
    <w:rsid w:val="00347560"/>
    <w:rsid w:val="003524A6"/>
    <w:rsid w:val="00353BBB"/>
    <w:rsid w:val="003547C0"/>
    <w:rsid w:val="00355BCD"/>
    <w:rsid w:val="003565B0"/>
    <w:rsid w:val="00356F63"/>
    <w:rsid w:val="0036083B"/>
    <w:rsid w:val="00362EB3"/>
    <w:rsid w:val="00367547"/>
    <w:rsid w:val="00370C55"/>
    <w:rsid w:val="003727C6"/>
    <w:rsid w:val="003759DA"/>
    <w:rsid w:val="00376061"/>
    <w:rsid w:val="0037677C"/>
    <w:rsid w:val="00377F14"/>
    <w:rsid w:val="00380F3F"/>
    <w:rsid w:val="00383BEB"/>
    <w:rsid w:val="00386873"/>
    <w:rsid w:val="00390E2D"/>
    <w:rsid w:val="00393047"/>
    <w:rsid w:val="003975FE"/>
    <w:rsid w:val="003A3039"/>
    <w:rsid w:val="003A3A68"/>
    <w:rsid w:val="003B1121"/>
    <w:rsid w:val="003B2660"/>
    <w:rsid w:val="003B34B4"/>
    <w:rsid w:val="003C5558"/>
    <w:rsid w:val="003C65F6"/>
    <w:rsid w:val="003C76D5"/>
    <w:rsid w:val="003D10B7"/>
    <w:rsid w:val="003D266F"/>
    <w:rsid w:val="003D303F"/>
    <w:rsid w:val="003D61B1"/>
    <w:rsid w:val="003D7E5A"/>
    <w:rsid w:val="003E1380"/>
    <w:rsid w:val="003E1CBD"/>
    <w:rsid w:val="003F1CA7"/>
    <w:rsid w:val="003F420F"/>
    <w:rsid w:val="003F47AB"/>
    <w:rsid w:val="003F6A1C"/>
    <w:rsid w:val="003F7E5E"/>
    <w:rsid w:val="00402348"/>
    <w:rsid w:val="00402D0A"/>
    <w:rsid w:val="00402D84"/>
    <w:rsid w:val="0040469E"/>
    <w:rsid w:val="00405736"/>
    <w:rsid w:val="00406CA3"/>
    <w:rsid w:val="00406CDC"/>
    <w:rsid w:val="00417616"/>
    <w:rsid w:val="0042310B"/>
    <w:rsid w:val="004242AE"/>
    <w:rsid w:val="00424A7C"/>
    <w:rsid w:val="00426DFE"/>
    <w:rsid w:val="00431510"/>
    <w:rsid w:val="004318B9"/>
    <w:rsid w:val="00432957"/>
    <w:rsid w:val="00442CFF"/>
    <w:rsid w:val="00444EF7"/>
    <w:rsid w:val="00445489"/>
    <w:rsid w:val="004466F3"/>
    <w:rsid w:val="00446F35"/>
    <w:rsid w:val="0044779F"/>
    <w:rsid w:val="00447C39"/>
    <w:rsid w:val="0045239B"/>
    <w:rsid w:val="00452575"/>
    <w:rsid w:val="00455F4F"/>
    <w:rsid w:val="00462270"/>
    <w:rsid w:val="00464C87"/>
    <w:rsid w:val="004655E6"/>
    <w:rsid w:val="004700A2"/>
    <w:rsid w:val="004733D1"/>
    <w:rsid w:val="00473B20"/>
    <w:rsid w:val="0047403B"/>
    <w:rsid w:val="00475283"/>
    <w:rsid w:val="004769EC"/>
    <w:rsid w:val="00477850"/>
    <w:rsid w:val="0048004A"/>
    <w:rsid w:val="00482AE4"/>
    <w:rsid w:val="00483363"/>
    <w:rsid w:val="004837F4"/>
    <w:rsid w:val="00483C20"/>
    <w:rsid w:val="00485503"/>
    <w:rsid w:val="00485C9D"/>
    <w:rsid w:val="00486F0E"/>
    <w:rsid w:val="0049571F"/>
    <w:rsid w:val="00495B17"/>
    <w:rsid w:val="00497842"/>
    <w:rsid w:val="004A1755"/>
    <w:rsid w:val="004A1A93"/>
    <w:rsid w:val="004A25A9"/>
    <w:rsid w:val="004A32BF"/>
    <w:rsid w:val="004A505C"/>
    <w:rsid w:val="004A55F8"/>
    <w:rsid w:val="004A71F6"/>
    <w:rsid w:val="004B02C2"/>
    <w:rsid w:val="004B127C"/>
    <w:rsid w:val="004B40C2"/>
    <w:rsid w:val="004B6B78"/>
    <w:rsid w:val="004C1CD1"/>
    <w:rsid w:val="004C3157"/>
    <w:rsid w:val="004C3C0E"/>
    <w:rsid w:val="004C4DC9"/>
    <w:rsid w:val="004C5028"/>
    <w:rsid w:val="004C6EBF"/>
    <w:rsid w:val="004C72D8"/>
    <w:rsid w:val="004C7C8E"/>
    <w:rsid w:val="004D2352"/>
    <w:rsid w:val="004D5078"/>
    <w:rsid w:val="004D7600"/>
    <w:rsid w:val="004D7E0B"/>
    <w:rsid w:val="004E3A1F"/>
    <w:rsid w:val="004E4AF3"/>
    <w:rsid w:val="004E4B85"/>
    <w:rsid w:val="004F3D4B"/>
    <w:rsid w:val="004F6FF0"/>
    <w:rsid w:val="004F7D42"/>
    <w:rsid w:val="0050131D"/>
    <w:rsid w:val="00501622"/>
    <w:rsid w:val="00504BC3"/>
    <w:rsid w:val="00505DE8"/>
    <w:rsid w:val="00506AF3"/>
    <w:rsid w:val="00507661"/>
    <w:rsid w:val="00514F08"/>
    <w:rsid w:val="005151D9"/>
    <w:rsid w:val="005210AD"/>
    <w:rsid w:val="005217F5"/>
    <w:rsid w:val="005248A1"/>
    <w:rsid w:val="00526B45"/>
    <w:rsid w:val="00526CCC"/>
    <w:rsid w:val="00530CE8"/>
    <w:rsid w:val="00541E1F"/>
    <w:rsid w:val="005469E6"/>
    <w:rsid w:val="00546B16"/>
    <w:rsid w:val="00546B28"/>
    <w:rsid w:val="00553022"/>
    <w:rsid w:val="005554F8"/>
    <w:rsid w:val="00555842"/>
    <w:rsid w:val="00560C70"/>
    <w:rsid w:val="00561179"/>
    <w:rsid w:val="0056128E"/>
    <w:rsid w:val="00561EE9"/>
    <w:rsid w:val="00562578"/>
    <w:rsid w:val="005726F5"/>
    <w:rsid w:val="0057465A"/>
    <w:rsid w:val="005769EB"/>
    <w:rsid w:val="00576E67"/>
    <w:rsid w:val="00577E17"/>
    <w:rsid w:val="00584114"/>
    <w:rsid w:val="00593B97"/>
    <w:rsid w:val="0059442A"/>
    <w:rsid w:val="005A1F81"/>
    <w:rsid w:val="005A4ABD"/>
    <w:rsid w:val="005A4F3A"/>
    <w:rsid w:val="005A54BA"/>
    <w:rsid w:val="005A70AD"/>
    <w:rsid w:val="005B4698"/>
    <w:rsid w:val="005B796D"/>
    <w:rsid w:val="005C0108"/>
    <w:rsid w:val="005C0ABF"/>
    <w:rsid w:val="005C2F2C"/>
    <w:rsid w:val="005C40D6"/>
    <w:rsid w:val="005C44B4"/>
    <w:rsid w:val="005C50AF"/>
    <w:rsid w:val="005C65BD"/>
    <w:rsid w:val="005D0C21"/>
    <w:rsid w:val="005D0C80"/>
    <w:rsid w:val="005D4B62"/>
    <w:rsid w:val="005D57B1"/>
    <w:rsid w:val="005D6F64"/>
    <w:rsid w:val="005E3F1B"/>
    <w:rsid w:val="005E4B51"/>
    <w:rsid w:val="005E4DF4"/>
    <w:rsid w:val="005F0552"/>
    <w:rsid w:val="005F06E7"/>
    <w:rsid w:val="005F21D1"/>
    <w:rsid w:val="005F4F6C"/>
    <w:rsid w:val="00602D49"/>
    <w:rsid w:val="0060421B"/>
    <w:rsid w:val="006049A7"/>
    <w:rsid w:val="00606B19"/>
    <w:rsid w:val="00607B81"/>
    <w:rsid w:val="00615C9A"/>
    <w:rsid w:val="006162DA"/>
    <w:rsid w:val="00616446"/>
    <w:rsid w:val="006165E2"/>
    <w:rsid w:val="006174CB"/>
    <w:rsid w:val="00617D69"/>
    <w:rsid w:val="00620023"/>
    <w:rsid w:val="00621332"/>
    <w:rsid w:val="00622B87"/>
    <w:rsid w:val="006274A2"/>
    <w:rsid w:val="006349D4"/>
    <w:rsid w:val="00634A00"/>
    <w:rsid w:val="00640C2D"/>
    <w:rsid w:val="0064197D"/>
    <w:rsid w:val="00644D15"/>
    <w:rsid w:val="00646BE7"/>
    <w:rsid w:val="00646ECA"/>
    <w:rsid w:val="0065051B"/>
    <w:rsid w:val="006515EA"/>
    <w:rsid w:val="00653D67"/>
    <w:rsid w:val="00654459"/>
    <w:rsid w:val="00654F81"/>
    <w:rsid w:val="00655CD5"/>
    <w:rsid w:val="006631EA"/>
    <w:rsid w:val="00664A9C"/>
    <w:rsid w:val="00664BB6"/>
    <w:rsid w:val="0066659B"/>
    <w:rsid w:val="00667E68"/>
    <w:rsid w:val="006706F1"/>
    <w:rsid w:val="00671047"/>
    <w:rsid w:val="0067178E"/>
    <w:rsid w:val="0067362F"/>
    <w:rsid w:val="0068007D"/>
    <w:rsid w:val="00681821"/>
    <w:rsid w:val="00681F21"/>
    <w:rsid w:val="00685655"/>
    <w:rsid w:val="006873EF"/>
    <w:rsid w:val="00690FB5"/>
    <w:rsid w:val="0069118A"/>
    <w:rsid w:val="00691E3B"/>
    <w:rsid w:val="006920C8"/>
    <w:rsid w:val="006953AF"/>
    <w:rsid w:val="006A077B"/>
    <w:rsid w:val="006A32BE"/>
    <w:rsid w:val="006A39BE"/>
    <w:rsid w:val="006A5BC5"/>
    <w:rsid w:val="006A616C"/>
    <w:rsid w:val="006A76CA"/>
    <w:rsid w:val="006B24AA"/>
    <w:rsid w:val="006B310A"/>
    <w:rsid w:val="006B475B"/>
    <w:rsid w:val="006B4EBB"/>
    <w:rsid w:val="006B5506"/>
    <w:rsid w:val="006C3300"/>
    <w:rsid w:val="006C3C2E"/>
    <w:rsid w:val="006C6A18"/>
    <w:rsid w:val="006C6A97"/>
    <w:rsid w:val="006D1AD8"/>
    <w:rsid w:val="006D28B3"/>
    <w:rsid w:val="006D2A06"/>
    <w:rsid w:val="006D62CF"/>
    <w:rsid w:val="006E0CB6"/>
    <w:rsid w:val="006E1AA6"/>
    <w:rsid w:val="006E2B12"/>
    <w:rsid w:val="006E3512"/>
    <w:rsid w:val="006E6FF6"/>
    <w:rsid w:val="006E7C63"/>
    <w:rsid w:val="006F5AEB"/>
    <w:rsid w:val="006F7967"/>
    <w:rsid w:val="00700070"/>
    <w:rsid w:val="0070018E"/>
    <w:rsid w:val="00702EE7"/>
    <w:rsid w:val="00702F7E"/>
    <w:rsid w:val="0070496E"/>
    <w:rsid w:val="00711873"/>
    <w:rsid w:val="00711895"/>
    <w:rsid w:val="00713D80"/>
    <w:rsid w:val="00715BAA"/>
    <w:rsid w:val="00722ADF"/>
    <w:rsid w:val="007234F3"/>
    <w:rsid w:val="00725095"/>
    <w:rsid w:val="00725229"/>
    <w:rsid w:val="007310BC"/>
    <w:rsid w:val="007355DF"/>
    <w:rsid w:val="00735CC2"/>
    <w:rsid w:val="00741C47"/>
    <w:rsid w:val="00743987"/>
    <w:rsid w:val="00746949"/>
    <w:rsid w:val="00750425"/>
    <w:rsid w:val="007505D3"/>
    <w:rsid w:val="00750C65"/>
    <w:rsid w:val="007606DC"/>
    <w:rsid w:val="00761A4B"/>
    <w:rsid w:val="00765D6A"/>
    <w:rsid w:val="0076637A"/>
    <w:rsid w:val="007704B8"/>
    <w:rsid w:val="00770907"/>
    <w:rsid w:val="00770981"/>
    <w:rsid w:val="00771B5B"/>
    <w:rsid w:val="00771FF4"/>
    <w:rsid w:val="00773FA3"/>
    <w:rsid w:val="007767A6"/>
    <w:rsid w:val="00780259"/>
    <w:rsid w:val="00780E00"/>
    <w:rsid w:val="0078236F"/>
    <w:rsid w:val="007830DB"/>
    <w:rsid w:val="007838AF"/>
    <w:rsid w:val="00787E68"/>
    <w:rsid w:val="007913F5"/>
    <w:rsid w:val="00792161"/>
    <w:rsid w:val="007931FE"/>
    <w:rsid w:val="00793760"/>
    <w:rsid w:val="00793BE0"/>
    <w:rsid w:val="007A4768"/>
    <w:rsid w:val="007A4B3B"/>
    <w:rsid w:val="007A63FE"/>
    <w:rsid w:val="007A6909"/>
    <w:rsid w:val="007A708E"/>
    <w:rsid w:val="007B1248"/>
    <w:rsid w:val="007B1C66"/>
    <w:rsid w:val="007B35DB"/>
    <w:rsid w:val="007B76AD"/>
    <w:rsid w:val="007C022F"/>
    <w:rsid w:val="007C20B1"/>
    <w:rsid w:val="007C45F9"/>
    <w:rsid w:val="007C4D71"/>
    <w:rsid w:val="007D167B"/>
    <w:rsid w:val="007E1530"/>
    <w:rsid w:val="007E157D"/>
    <w:rsid w:val="007E6CAC"/>
    <w:rsid w:val="007F008C"/>
    <w:rsid w:val="007F13D0"/>
    <w:rsid w:val="007F5380"/>
    <w:rsid w:val="007F5BFE"/>
    <w:rsid w:val="007F7872"/>
    <w:rsid w:val="00800505"/>
    <w:rsid w:val="0080130B"/>
    <w:rsid w:val="00801F81"/>
    <w:rsid w:val="008024C6"/>
    <w:rsid w:val="008026F0"/>
    <w:rsid w:val="008032B1"/>
    <w:rsid w:val="00804DC5"/>
    <w:rsid w:val="00805A32"/>
    <w:rsid w:val="00807365"/>
    <w:rsid w:val="0081374A"/>
    <w:rsid w:val="00813E8B"/>
    <w:rsid w:val="008150C4"/>
    <w:rsid w:val="00815685"/>
    <w:rsid w:val="00817212"/>
    <w:rsid w:val="008206F9"/>
    <w:rsid w:val="008207E8"/>
    <w:rsid w:val="008213EB"/>
    <w:rsid w:val="00821F0A"/>
    <w:rsid w:val="00824E4B"/>
    <w:rsid w:val="00825B8D"/>
    <w:rsid w:val="008277B6"/>
    <w:rsid w:val="00830076"/>
    <w:rsid w:val="008300D1"/>
    <w:rsid w:val="00833DC8"/>
    <w:rsid w:val="00835370"/>
    <w:rsid w:val="0083670B"/>
    <w:rsid w:val="00836EA3"/>
    <w:rsid w:val="0084174D"/>
    <w:rsid w:val="0084205A"/>
    <w:rsid w:val="0084307D"/>
    <w:rsid w:val="0084698F"/>
    <w:rsid w:val="00847316"/>
    <w:rsid w:val="00847523"/>
    <w:rsid w:val="00851BB7"/>
    <w:rsid w:val="0085261C"/>
    <w:rsid w:val="00853623"/>
    <w:rsid w:val="00853807"/>
    <w:rsid w:val="00855449"/>
    <w:rsid w:val="008632CB"/>
    <w:rsid w:val="00864C2A"/>
    <w:rsid w:val="008660CE"/>
    <w:rsid w:val="008706E1"/>
    <w:rsid w:val="00873926"/>
    <w:rsid w:val="0087697F"/>
    <w:rsid w:val="008821C2"/>
    <w:rsid w:val="00891245"/>
    <w:rsid w:val="008912F0"/>
    <w:rsid w:val="00892BBD"/>
    <w:rsid w:val="00895AF1"/>
    <w:rsid w:val="0089785B"/>
    <w:rsid w:val="008978E0"/>
    <w:rsid w:val="008A6602"/>
    <w:rsid w:val="008A6729"/>
    <w:rsid w:val="008A7A62"/>
    <w:rsid w:val="008B0140"/>
    <w:rsid w:val="008B14FC"/>
    <w:rsid w:val="008B15B0"/>
    <w:rsid w:val="008B2733"/>
    <w:rsid w:val="008B7C2E"/>
    <w:rsid w:val="008C22A7"/>
    <w:rsid w:val="008C4729"/>
    <w:rsid w:val="008D14E7"/>
    <w:rsid w:val="008D1A44"/>
    <w:rsid w:val="008D1B5A"/>
    <w:rsid w:val="008D2F19"/>
    <w:rsid w:val="008E3694"/>
    <w:rsid w:val="008E687E"/>
    <w:rsid w:val="008E746F"/>
    <w:rsid w:val="008F0161"/>
    <w:rsid w:val="008F23F7"/>
    <w:rsid w:val="008F3EDC"/>
    <w:rsid w:val="008F6AD5"/>
    <w:rsid w:val="008F6C75"/>
    <w:rsid w:val="008F705C"/>
    <w:rsid w:val="00902DB7"/>
    <w:rsid w:val="00903886"/>
    <w:rsid w:val="0090405B"/>
    <w:rsid w:val="0090765B"/>
    <w:rsid w:val="009105B7"/>
    <w:rsid w:val="009109C1"/>
    <w:rsid w:val="00912409"/>
    <w:rsid w:val="00913058"/>
    <w:rsid w:val="0091346B"/>
    <w:rsid w:val="0091417F"/>
    <w:rsid w:val="009255E3"/>
    <w:rsid w:val="00930539"/>
    <w:rsid w:val="00931512"/>
    <w:rsid w:val="00935367"/>
    <w:rsid w:val="00936083"/>
    <w:rsid w:val="009372CC"/>
    <w:rsid w:val="00943408"/>
    <w:rsid w:val="00944625"/>
    <w:rsid w:val="00945112"/>
    <w:rsid w:val="00945BEE"/>
    <w:rsid w:val="009468A1"/>
    <w:rsid w:val="00946D02"/>
    <w:rsid w:val="00947F42"/>
    <w:rsid w:val="00953922"/>
    <w:rsid w:val="0095520B"/>
    <w:rsid w:val="009560F7"/>
    <w:rsid w:val="0096036F"/>
    <w:rsid w:val="00962732"/>
    <w:rsid w:val="00963E90"/>
    <w:rsid w:val="00965C20"/>
    <w:rsid w:val="0096644F"/>
    <w:rsid w:val="0097006C"/>
    <w:rsid w:val="00971D9E"/>
    <w:rsid w:val="009731D8"/>
    <w:rsid w:val="00974944"/>
    <w:rsid w:val="009754A5"/>
    <w:rsid w:val="00975971"/>
    <w:rsid w:val="009775A5"/>
    <w:rsid w:val="00982F42"/>
    <w:rsid w:val="009831DE"/>
    <w:rsid w:val="00990209"/>
    <w:rsid w:val="00991215"/>
    <w:rsid w:val="009A0854"/>
    <w:rsid w:val="009A2890"/>
    <w:rsid w:val="009A3A36"/>
    <w:rsid w:val="009A44C4"/>
    <w:rsid w:val="009B282F"/>
    <w:rsid w:val="009B47A1"/>
    <w:rsid w:val="009B5232"/>
    <w:rsid w:val="009C0696"/>
    <w:rsid w:val="009C0DE0"/>
    <w:rsid w:val="009C1260"/>
    <w:rsid w:val="009C1824"/>
    <w:rsid w:val="009C739D"/>
    <w:rsid w:val="009C7B60"/>
    <w:rsid w:val="009D283F"/>
    <w:rsid w:val="009D4306"/>
    <w:rsid w:val="009E3121"/>
    <w:rsid w:val="009E34A7"/>
    <w:rsid w:val="009E7EA5"/>
    <w:rsid w:val="009F183C"/>
    <w:rsid w:val="009F1D4F"/>
    <w:rsid w:val="009F2E9A"/>
    <w:rsid w:val="009F30A3"/>
    <w:rsid w:val="009F472C"/>
    <w:rsid w:val="009F59A0"/>
    <w:rsid w:val="009F5A57"/>
    <w:rsid w:val="009F69AD"/>
    <w:rsid w:val="00A00706"/>
    <w:rsid w:val="00A00F62"/>
    <w:rsid w:val="00A0110B"/>
    <w:rsid w:val="00A02194"/>
    <w:rsid w:val="00A02FC6"/>
    <w:rsid w:val="00A058C4"/>
    <w:rsid w:val="00A11179"/>
    <w:rsid w:val="00A11626"/>
    <w:rsid w:val="00A12388"/>
    <w:rsid w:val="00A12627"/>
    <w:rsid w:val="00A145AF"/>
    <w:rsid w:val="00A15D84"/>
    <w:rsid w:val="00A224A4"/>
    <w:rsid w:val="00A22B98"/>
    <w:rsid w:val="00A25A03"/>
    <w:rsid w:val="00A31D20"/>
    <w:rsid w:val="00A3357E"/>
    <w:rsid w:val="00A3469A"/>
    <w:rsid w:val="00A373C6"/>
    <w:rsid w:val="00A40693"/>
    <w:rsid w:val="00A41067"/>
    <w:rsid w:val="00A422CD"/>
    <w:rsid w:val="00A43503"/>
    <w:rsid w:val="00A4391C"/>
    <w:rsid w:val="00A43F61"/>
    <w:rsid w:val="00A45229"/>
    <w:rsid w:val="00A45887"/>
    <w:rsid w:val="00A47194"/>
    <w:rsid w:val="00A62A0B"/>
    <w:rsid w:val="00A642EE"/>
    <w:rsid w:val="00A647ED"/>
    <w:rsid w:val="00A653D2"/>
    <w:rsid w:val="00A65917"/>
    <w:rsid w:val="00A72141"/>
    <w:rsid w:val="00A81785"/>
    <w:rsid w:val="00A821E5"/>
    <w:rsid w:val="00A82CC6"/>
    <w:rsid w:val="00A86B9C"/>
    <w:rsid w:val="00A909CA"/>
    <w:rsid w:val="00A915AF"/>
    <w:rsid w:val="00A930EC"/>
    <w:rsid w:val="00A93C5B"/>
    <w:rsid w:val="00A94885"/>
    <w:rsid w:val="00AA0467"/>
    <w:rsid w:val="00AA19B7"/>
    <w:rsid w:val="00AA2126"/>
    <w:rsid w:val="00AA2C45"/>
    <w:rsid w:val="00AA2DBD"/>
    <w:rsid w:val="00AA3AFE"/>
    <w:rsid w:val="00AA4FCD"/>
    <w:rsid w:val="00AA59D2"/>
    <w:rsid w:val="00AB2545"/>
    <w:rsid w:val="00AC177A"/>
    <w:rsid w:val="00AC1D86"/>
    <w:rsid w:val="00AC2BA8"/>
    <w:rsid w:val="00AC55BD"/>
    <w:rsid w:val="00AC6DDB"/>
    <w:rsid w:val="00AD2646"/>
    <w:rsid w:val="00AD2928"/>
    <w:rsid w:val="00AD3E8C"/>
    <w:rsid w:val="00AE1F6B"/>
    <w:rsid w:val="00AE5794"/>
    <w:rsid w:val="00AE5928"/>
    <w:rsid w:val="00AE60DC"/>
    <w:rsid w:val="00AE7158"/>
    <w:rsid w:val="00AE7C9A"/>
    <w:rsid w:val="00AF186F"/>
    <w:rsid w:val="00AF493B"/>
    <w:rsid w:val="00AF6F27"/>
    <w:rsid w:val="00AF6FF1"/>
    <w:rsid w:val="00B02E61"/>
    <w:rsid w:val="00B0327D"/>
    <w:rsid w:val="00B0331B"/>
    <w:rsid w:val="00B03B71"/>
    <w:rsid w:val="00B11BFA"/>
    <w:rsid w:val="00B170BB"/>
    <w:rsid w:val="00B17C79"/>
    <w:rsid w:val="00B20B0F"/>
    <w:rsid w:val="00B2118E"/>
    <w:rsid w:val="00B2200E"/>
    <w:rsid w:val="00B22782"/>
    <w:rsid w:val="00B30404"/>
    <w:rsid w:val="00B31244"/>
    <w:rsid w:val="00B31931"/>
    <w:rsid w:val="00B33C0C"/>
    <w:rsid w:val="00B3796B"/>
    <w:rsid w:val="00B414DB"/>
    <w:rsid w:val="00B4291F"/>
    <w:rsid w:val="00B44102"/>
    <w:rsid w:val="00B46926"/>
    <w:rsid w:val="00B503DC"/>
    <w:rsid w:val="00B50D5D"/>
    <w:rsid w:val="00B53201"/>
    <w:rsid w:val="00B558CD"/>
    <w:rsid w:val="00B55B2F"/>
    <w:rsid w:val="00B55DE3"/>
    <w:rsid w:val="00B61B0C"/>
    <w:rsid w:val="00B665E5"/>
    <w:rsid w:val="00B66732"/>
    <w:rsid w:val="00B66BAE"/>
    <w:rsid w:val="00B67B63"/>
    <w:rsid w:val="00B7041F"/>
    <w:rsid w:val="00B71618"/>
    <w:rsid w:val="00B71C7C"/>
    <w:rsid w:val="00B74694"/>
    <w:rsid w:val="00B77254"/>
    <w:rsid w:val="00B826DD"/>
    <w:rsid w:val="00B846E7"/>
    <w:rsid w:val="00B9163A"/>
    <w:rsid w:val="00B96108"/>
    <w:rsid w:val="00B968DA"/>
    <w:rsid w:val="00B976EE"/>
    <w:rsid w:val="00BA10E3"/>
    <w:rsid w:val="00BA2CC4"/>
    <w:rsid w:val="00BA3CB2"/>
    <w:rsid w:val="00BA5031"/>
    <w:rsid w:val="00BA576B"/>
    <w:rsid w:val="00BB001C"/>
    <w:rsid w:val="00BB1B4D"/>
    <w:rsid w:val="00BB23F4"/>
    <w:rsid w:val="00BB35C0"/>
    <w:rsid w:val="00BB476A"/>
    <w:rsid w:val="00BB5CE8"/>
    <w:rsid w:val="00BB69A8"/>
    <w:rsid w:val="00BB7411"/>
    <w:rsid w:val="00BC1690"/>
    <w:rsid w:val="00BC4C43"/>
    <w:rsid w:val="00BC59F3"/>
    <w:rsid w:val="00BD01DC"/>
    <w:rsid w:val="00BD126F"/>
    <w:rsid w:val="00BD1EB4"/>
    <w:rsid w:val="00BD4684"/>
    <w:rsid w:val="00BD530F"/>
    <w:rsid w:val="00BD5C44"/>
    <w:rsid w:val="00BE00B4"/>
    <w:rsid w:val="00BE242B"/>
    <w:rsid w:val="00BE7298"/>
    <w:rsid w:val="00BF4334"/>
    <w:rsid w:val="00BF76FE"/>
    <w:rsid w:val="00C017E3"/>
    <w:rsid w:val="00C021E1"/>
    <w:rsid w:val="00C02937"/>
    <w:rsid w:val="00C03FBD"/>
    <w:rsid w:val="00C146FB"/>
    <w:rsid w:val="00C15EFF"/>
    <w:rsid w:val="00C219C7"/>
    <w:rsid w:val="00C24B54"/>
    <w:rsid w:val="00C26C2F"/>
    <w:rsid w:val="00C26D10"/>
    <w:rsid w:val="00C32352"/>
    <w:rsid w:val="00C33647"/>
    <w:rsid w:val="00C37580"/>
    <w:rsid w:val="00C40841"/>
    <w:rsid w:val="00C4493C"/>
    <w:rsid w:val="00C44A77"/>
    <w:rsid w:val="00C47080"/>
    <w:rsid w:val="00C518D7"/>
    <w:rsid w:val="00C52836"/>
    <w:rsid w:val="00C53B85"/>
    <w:rsid w:val="00C6162E"/>
    <w:rsid w:val="00C6187C"/>
    <w:rsid w:val="00C62B71"/>
    <w:rsid w:val="00C62EA3"/>
    <w:rsid w:val="00C71F85"/>
    <w:rsid w:val="00C72A16"/>
    <w:rsid w:val="00C72B3A"/>
    <w:rsid w:val="00C749CF"/>
    <w:rsid w:val="00C76305"/>
    <w:rsid w:val="00C83CC9"/>
    <w:rsid w:val="00C85043"/>
    <w:rsid w:val="00C85590"/>
    <w:rsid w:val="00C85E67"/>
    <w:rsid w:val="00C95375"/>
    <w:rsid w:val="00CB1EE3"/>
    <w:rsid w:val="00CB5811"/>
    <w:rsid w:val="00CC2F28"/>
    <w:rsid w:val="00CC34A3"/>
    <w:rsid w:val="00CD120F"/>
    <w:rsid w:val="00CD15BB"/>
    <w:rsid w:val="00CD717E"/>
    <w:rsid w:val="00CE2600"/>
    <w:rsid w:val="00CF0ED3"/>
    <w:rsid w:val="00CF2FBA"/>
    <w:rsid w:val="00CF5F56"/>
    <w:rsid w:val="00CF7D0F"/>
    <w:rsid w:val="00D00307"/>
    <w:rsid w:val="00D0045F"/>
    <w:rsid w:val="00D01359"/>
    <w:rsid w:val="00D035F4"/>
    <w:rsid w:val="00D05E04"/>
    <w:rsid w:val="00D13FC1"/>
    <w:rsid w:val="00D16013"/>
    <w:rsid w:val="00D171C1"/>
    <w:rsid w:val="00D17D99"/>
    <w:rsid w:val="00D208C0"/>
    <w:rsid w:val="00D275CC"/>
    <w:rsid w:val="00D3233E"/>
    <w:rsid w:val="00D356F0"/>
    <w:rsid w:val="00D36A22"/>
    <w:rsid w:val="00D41B83"/>
    <w:rsid w:val="00D420A3"/>
    <w:rsid w:val="00D44910"/>
    <w:rsid w:val="00D47176"/>
    <w:rsid w:val="00D51252"/>
    <w:rsid w:val="00D514CE"/>
    <w:rsid w:val="00D51805"/>
    <w:rsid w:val="00D53835"/>
    <w:rsid w:val="00D552DD"/>
    <w:rsid w:val="00D55ED4"/>
    <w:rsid w:val="00D55F56"/>
    <w:rsid w:val="00D56964"/>
    <w:rsid w:val="00D5712B"/>
    <w:rsid w:val="00D57DCB"/>
    <w:rsid w:val="00D6069A"/>
    <w:rsid w:val="00D606B9"/>
    <w:rsid w:val="00D63B9D"/>
    <w:rsid w:val="00D63E2C"/>
    <w:rsid w:val="00D64C73"/>
    <w:rsid w:val="00D674DB"/>
    <w:rsid w:val="00D67A35"/>
    <w:rsid w:val="00D67BCF"/>
    <w:rsid w:val="00D765E3"/>
    <w:rsid w:val="00D77E74"/>
    <w:rsid w:val="00D80906"/>
    <w:rsid w:val="00D80A9E"/>
    <w:rsid w:val="00D85F45"/>
    <w:rsid w:val="00D8735A"/>
    <w:rsid w:val="00D87450"/>
    <w:rsid w:val="00D9174B"/>
    <w:rsid w:val="00D9689F"/>
    <w:rsid w:val="00DA10CC"/>
    <w:rsid w:val="00DA41C9"/>
    <w:rsid w:val="00DA48B1"/>
    <w:rsid w:val="00DB430D"/>
    <w:rsid w:val="00DB71E4"/>
    <w:rsid w:val="00DB7F1B"/>
    <w:rsid w:val="00DC65AF"/>
    <w:rsid w:val="00DC6C94"/>
    <w:rsid w:val="00DD4AC3"/>
    <w:rsid w:val="00DD66D0"/>
    <w:rsid w:val="00DD7808"/>
    <w:rsid w:val="00DE3A99"/>
    <w:rsid w:val="00DE4F55"/>
    <w:rsid w:val="00DE5836"/>
    <w:rsid w:val="00DE5DBE"/>
    <w:rsid w:val="00DE7485"/>
    <w:rsid w:val="00DF37F4"/>
    <w:rsid w:val="00DF56F2"/>
    <w:rsid w:val="00DF7376"/>
    <w:rsid w:val="00DF7D0D"/>
    <w:rsid w:val="00E01B62"/>
    <w:rsid w:val="00E13C03"/>
    <w:rsid w:val="00E1418C"/>
    <w:rsid w:val="00E164C8"/>
    <w:rsid w:val="00E171FE"/>
    <w:rsid w:val="00E21E1D"/>
    <w:rsid w:val="00E24F7B"/>
    <w:rsid w:val="00E2632C"/>
    <w:rsid w:val="00E30143"/>
    <w:rsid w:val="00E31A95"/>
    <w:rsid w:val="00E32CE3"/>
    <w:rsid w:val="00E34258"/>
    <w:rsid w:val="00E3664A"/>
    <w:rsid w:val="00E410BE"/>
    <w:rsid w:val="00E417C9"/>
    <w:rsid w:val="00E41D1C"/>
    <w:rsid w:val="00E4320F"/>
    <w:rsid w:val="00E43680"/>
    <w:rsid w:val="00E43A9F"/>
    <w:rsid w:val="00E50D72"/>
    <w:rsid w:val="00E52808"/>
    <w:rsid w:val="00E54238"/>
    <w:rsid w:val="00E551D8"/>
    <w:rsid w:val="00E570BD"/>
    <w:rsid w:val="00E57970"/>
    <w:rsid w:val="00E6021A"/>
    <w:rsid w:val="00E60B10"/>
    <w:rsid w:val="00E63689"/>
    <w:rsid w:val="00E636D7"/>
    <w:rsid w:val="00E63984"/>
    <w:rsid w:val="00E63D65"/>
    <w:rsid w:val="00E6411A"/>
    <w:rsid w:val="00E64CD7"/>
    <w:rsid w:val="00E65AB8"/>
    <w:rsid w:val="00E661CA"/>
    <w:rsid w:val="00E67B55"/>
    <w:rsid w:val="00E701BE"/>
    <w:rsid w:val="00E778D8"/>
    <w:rsid w:val="00E8332F"/>
    <w:rsid w:val="00E8345F"/>
    <w:rsid w:val="00E834A5"/>
    <w:rsid w:val="00E845A2"/>
    <w:rsid w:val="00E8589D"/>
    <w:rsid w:val="00E86BD7"/>
    <w:rsid w:val="00E86E6A"/>
    <w:rsid w:val="00E876CD"/>
    <w:rsid w:val="00E90A97"/>
    <w:rsid w:val="00E9526C"/>
    <w:rsid w:val="00E96AF4"/>
    <w:rsid w:val="00E97B58"/>
    <w:rsid w:val="00EA112B"/>
    <w:rsid w:val="00EA209C"/>
    <w:rsid w:val="00EA3D6B"/>
    <w:rsid w:val="00EA695F"/>
    <w:rsid w:val="00EA6CE1"/>
    <w:rsid w:val="00EA7D31"/>
    <w:rsid w:val="00EB00C4"/>
    <w:rsid w:val="00EB0BD6"/>
    <w:rsid w:val="00EB43A9"/>
    <w:rsid w:val="00EB4513"/>
    <w:rsid w:val="00EC0BA5"/>
    <w:rsid w:val="00EC1F16"/>
    <w:rsid w:val="00EC3BF3"/>
    <w:rsid w:val="00EC3F5C"/>
    <w:rsid w:val="00EC41C4"/>
    <w:rsid w:val="00EC51A2"/>
    <w:rsid w:val="00EC77F8"/>
    <w:rsid w:val="00EC7CD5"/>
    <w:rsid w:val="00ED1245"/>
    <w:rsid w:val="00EE0090"/>
    <w:rsid w:val="00EE2F7D"/>
    <w:rsid w:val="00EE3896"/>
    <w:rsid w:val="00EE530C"/>
    <w:rsid w:val="00EE6105"/>
    <w:rsid w:val="00EF7BDE"/>
    <w:rsid w:val="00F000CC"/>
    <w:rsid w:val="00F018A9"/>
    <w:rsid w:val="00F0229E"/>
    <w:rsid w:val="00F04956"/>
    <w:rsid w:val="00F053BA"/>
    <w:rsid w:val="00F05CDD"/>
    <w:rsid w:val="00F070A0"/>
    <w:rsid w:val="00F0745E"/>
    <w:rsid w:val="00F07A50"/>
    <w:rsid w:val="00F11BA0"/>
    <w:rsid w:val="00F1235B"/>
    <w:rsid w:val="00F14A08"/>
    <w:rsid w:val="00F152AB"/>
    <w:rsid w:val="00F166B0"/>
    <w:rsid w:val="00F20BA4"/>
    <w:rsid w:val="00F20C47"/>
    <w:rsid w:val="00F22DE6"/>
    <w:rsid w:val="00F232BA"/>
    <w:rsid w:val="00F2620E"/>
    <w:rsid w:val="00F27836"/>
    <w:rsid w:val="00F301E9"/>
    <w:rsid w:val="00F32D28"/>
    <w:rsid w:val="00F335D9"/>
    <w:rsid w:val="00F3643C"/>
    <w:rsid w:val="00F41A2D"/>
    <w:rsid w:val="00F428BE"/>
    <w:rsid w:val="00F4467A"/>
    <w:rsid w:val="00F449E9"/>
    <w:rsid w:val="00F47F1C"/>
    <w:rsid w:val="00F503CA"/>
    <w:rsid w:val="00F50AF6"/>
    <w:rsid w:val="00F55B71"/>
    <w:rsid w:val="00F56DB8"/>
    <w:rsid w:val="00F627A5"/>
    <w:rsid w:val="00F64FBB"/>
    <w:rsid w:val="00F661E6"/>
    <w:rsid w:val="00F664CC"/>
    <w:rsid w:val="00F66D7C"/>
    <w:rsid w:val="00F70D1C"/>
    <w:rsid w:val="00F71F41"/>
    <w:rsid w:val="00F73B05"/>
    <w:rsid w:val="00F75DD5"/>
    <w:rsid w:val="00F764FA"/>
    <w:rsid w:val="00F77296"/>
    <w:rsid w:val="00F776F9"/>
    <w:rsid w:val="00F80A47"/>
    <w:rsid w:val="00F81F87"/>
    <w:rsid w:val="00F8238B"/>
    <w:rsid w:val="00F833ED"/>
    <w:rsid w:val="00F856EC"/>
    <w:rsid w:val="00F864E8"/>
    <w:rsid w:val="00F91783"/>
    <w:rsid w:val="00F92394"/>
    <w:rsid w:val="00F92F0B"/>
    <w:rsid w:val="00F95622"/>
    <w:rsid w:val="00F95FF6"/>
    <w:rsid w:val="00F97413"/>
    <w:rsid w:val="00FA3721"/>
    <w:rsid w:val="00FA6E7C"/>
    <w:rsid w:val="00FA7C0A"/>
    <w:rsid w:val="00FB3A3B"/>
    <w:rsid w:val="00FB5AC1"/>
    <w:rsid w:val="00FB76CA"/>
    <w:rsid w:val="00FC10EC"/>
    <w:rsid w:val="00FC7288"/>
    <w:rsid w:val="00FC78D9"/>
    <w:rsid w:val="00FD3805"/>
    <w:rsid w:val="00FD3AF5"/>
    <w:rsid w:val="00FD6446"/>
    <w:rsid w:val="00FE5491"/>
    <w:rsid w:val="00FE6536"/>
    <w:rsid w:val="00FE7AAE"/>
    <w:rsid w:val="00FF0A56"/>
    <w:rsid w:val="00FF18A8"/>
    <w:rsid w:val="00FF4D41"/>
    <w:rsid w:val="00FF4D98"/>
    <w:rsid w:val="00FF6EF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09878-1AFE-41E9-B121-38F91014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qFormat="1"/>
    <w:lsdException w:name="heading 3" w:uiPriority="8" w:qFormat="1"/>
    <w:lsdException w:name="heading 4" w:semiHidden="1" w:uiPriority="9" w:qFormat="1"/>
    <w:lsdException w:name="heading 5" w:semiHidden="1" w:uiPriority="10" w:qFormat="1"/>
    <w:lsdException w:name="heading 6" w:semiHidden="1" w:uiPriority="1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661E6"/>
    <w:pPr>
      <w:spacing w:before="240" w:after="240" w:line="240" w:lineRule="atLeast"/>
    </w:pPr>
    <w:rPr>
      <w:rFonts w:ascii="Arial" w:hAnsi="Arial"/>
    </w:rPr>
  </w:style>
  <w:style w:type="paragraph" w:styleId="Heading1">
    <w:name w:val="heading 1"/>
    <w:basedOn w:val="BodyText"/>
    <w:next w:val="BodyText"/>
    <w:link w:val="Heading1Char"/>
    <w:uiPriority w:val="6"/>
    <w:qFormat/>
    <w:rsid w:val="006B24AA"/>
    <w:pPr>
      <w:keepNext/>
      <w:pageBreakBefore/>
      <w:numPr>
        <w:numId w:val="8"/>
      </w:numPr>
      <w:spacing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097274"/>
    <w:pPr>
      <w:pageBreakBefore w:val="0"/>
      <w:numPr>
        <w:ilvl w:val="1"/>
      </w:numPr>
      <w:spacing w:before="480" w:after="240"/>
      <w:outlineLvl w:val="1"/>
    </w:pPr>
    <w:rPr>
      <w:bCs w:val="0"/>
      <w:color w:val="00BAD4" w:themeColor="text2"/>
      <w:sz w:val="36"/>
      <w:szCs w:val="32"/>
    </w:rPr>
  </w:style>
  <w:style w:type="paragraph" w:styleId="Heading3">
    <w:name w:val="heading 3"/>
    <w:basedOn w:val="Heading2"/>
    <w:next w:val="BodyText"/>
    <w:link w:val="Heading3Char"/>
    <w:uiPriority w:val="8"/>
    <w:qFormat/>
    <w:rsid w:val="00097274"/>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E63984"/>
    <w:pPr>
      <w:numPr>
        <w:ilvl w:val="3"/>
      </w:numPr>
      <w:spacing w:before="360"/>
      <w:outlineLvl w:val="3"/>
    </w:pPr>
    <w:rPr>
      <w:bCs w:val="0"/>
      <w:iCs/>
      <w:color w:val="E52923" w:themeColor="background2"/>
    </w:rPr>
  </w:style>
  <w:style w:type="paragraph" w:styleId="Heading5">
    <w:name w:val="heading 5"/>
    <w:aliases w:val="(Main Heading)"/>
    <w:basedOn w:val="Heading4"/>
    <w:next w:val="BodyText"/>
    <w:link w:val="Heading5Char"/>
    <w:uiPriority w:val="10"/>
    <w:qFormat/>
    <w:rsid w:val="00945BEE"/>
    <w:pPr>
      <w:numPr>
        <w:ilvl w:val="0"/>
        <w:numId w:val="0"/>
      </w:numPr>
      <w:outlineLvl w:val="4"/>
    </w:pPr>
    <w:rPr>
      <w:rFonts w:cstheme="minorHAnsi"/>
      <w:color w:val="00BAD4" w:themeColor="text2"/>
      <w:sz w:val="28"/>
      <w:szCs w:val="24"/>
    </w:rPr>
  </w:style>
  <w:style w:type="paragraph" w:styleId="Heading6">
    <w:name w:val="heading 6"/>
    <w:aliases w:val="(Subheading)"/>
    <w:basedOn w:val="Heading5"/>
    <w:next w:val="BodyText"/>
    <w:link w:val="Heading6Char"/>
    <w:uiPriority w:val="11"/>
    <w:qFormat/>
    <w:rsid w:val="00E63984"/>
    <w:pPr>
      <w:numPr>
        <w:ilvl w:val="5"/>
      </w:numPr>
      <w:outlineLvl w:val="5"/>
    </w:pPr>
    <w:rPr>
      <w:b/>
      <w:iCs w:val="0"/>
      <w:color w:val="796E65" w:themeColor="accent4"/>
      <w:sz w:val="24"/>
      <w:szCs w:val="22"/>
    </w:rPr>
  </w:style>
  <w:style w:type="paragraph" w:styleId="Heading7">
    <w:name w:val="heading 7"/>
    <w:aliases w:val="(Appendix Heading)"/>
    <w:basedOn w:val="Heading1"/>
    <w:next w:val="BodyText"/>
    <w:link w:val="Heading7Char"/>
    <w:uiPriority w:val="12"/>
    <w:qFormat/>
    <w:rsid w:val="0057465A"/>
    <w:pPr>
      <w:numPr>
        <w:ilvl w:val="4"/>
      </w:numPr>
      <w:tabs>
        <w:tab w:val="left" w:pos="2552"/>
      </w:tabs>
      <w:spacing w:after="400"/>
      <w:ind w:left="2835" w:hanging="2835"/>
      <w:outlineLvl w:val="6"/>
    </w:pPr>
    <w:rPr>
      <w:iCs/>
    </w:rPr>
  </w:style>
  <w:style w:type="paragraph" w:styleId="Heading8">
    <w:name w:val="heading 8"/>
    <w:basedOn w:val="Heading7"/>
    <w:next w:val="BodyText"/>
    <w:link w:val="Heading8Char"/>
    <w:uiPriority w:val="12"/>
    <w:qFormat/>
    <w:rsid w:val="00945BEE"/>
    <w:pPr>
      <w:pageBreakBefore w:val="0"/>
      <w:numPr>
        <w:ilvl w:val="5"/>
      </w:numPr>
      <w:tabs>
        <w:tab w:val="clear" w:pos="2552"/>
      </w:tabs>
      <w:spacing w:before="480" w:after="24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945BEE"/>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6B24AA"/>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097274"/>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097274"/>
    <w:rPr>
      <w:rFonts w:ascii="Arial" w:eastAsiaTheme="majorEastAsia" w:hAnsi="Arial" w:cstheme="majorBidi"/>
      <w:bCs/>
      <w:color w:val="796E65" w:themeColor="accent4"/>
      <w:sz w:val="32"/>
      <w:szCs w:val="28"/>
    </w:rPr>
  </w:style>
  <w:style w:type="paragraph" w:styleId="Caption">
    <w:name w:val="caption"/>
    <w:basedOn w:val="BodyText"/>
    <w:next w:val="Object"/>
    <w:uiPriority w:val="4"/>
    <w:qFormat/>
    <w:rsid w:val="004D7E0B"/>
    <w:pPr>
      <w:keepNext/>
      <w:spacing w:before="360" w:line="240" w:lineRule="auto"/>
      <w:ind w:left="1418" w:hanging="1418"/>
    </w:pPr>
    <w:rPr>
      <w:b/>
      <w:bCs/>
      <w:color w:val="796E65" w:themeColor="accent4"/>
      <w:sz w:val="18"/>
      <w:szCs w:val="20"/>
    </w:rPr>
  </w:style>
  <w:style w:type="paragraph" w:styleId="BodyText">
    <w:name w:val="Body Text"/>
    <w:link w:val="BodyTextChar"/>
    <w:qFormat/>
    <w:rsid w:val="00E32CE3"/>
    <w:pPr>
      <w:keepLines/>
      <w:spacing w:before="240" w:after="240" w:line="240" w:lineRule="atLeast"/>
    </w:pPr>
    <w:rPr>
      <w:rFonts w:ascii="Arial" w:hAnsi="Arial"/>
      <w:sz w:val="20"/>
    </w:rPr>
  </w:style>
  <w:style w:type="character" w:customStyle="1" w:styleId="BodyTextChar">
    <w:name w:val="Body Text Char"/>
    <w:basedOn w:val="DefaultParagraphFont"/>
    <w:link w:val="BodyText"/>
    <w:rsid w:val="00E32CE3"/>
    <w:rPr>
      <w:rFonts w:ascii="Arial" w:hAnsi="Arial"/>
      <w:sz w:val="20"/>
    </w:rPr>
  </w:style>
  <w:style w:type="paragraph" w:styleId="TOC1">
    <w:name w:val="toc 1"/>
    <w:basedOn w:val="Normal"/>
    <w:next w:val="BodyText"/>
    <w:uiPriority w:val="39"/>
    <w:qFormat/>
    <w:rsid w:val="00AA4FCD"/>
    <w:pPr>
      <w:keepLines/>
      <w:tabs>
        <w:tab w:val="left" w:pos="567"/>
        <w:tab w:val="right" w:pos="7938"/>
      </w:tabs>
      <w:spacing w:after="60"/>
      <w:ind w:left="567" w:right="907" w:hanging="567"/>
    </w:pPr>
    <w:rPr>
      <w:noProof/>
    </w:rPr>
  </w:style>
  <w:style w:type="paragraph" w:styleId="TOC2">
    <w:name w:val="toc 2"/>
    <w:basedOn w:val="TOC1"/>
    <w:next w:val="BodyText"/>
    <w:uiPriority w:val="39"/>
    <w:qFormat/>
    <w:rsid w:val="00AA4FCD"/>
    <w:pPr>
      <w:tabs>
        <w:tab w:val="left" w:pos="1418"/>
      </w:tabs>
      <w:spacing w:before="60"/>
      <w:ind w:left="1418" w:hanging="851"/>
    </w:pPr>
  </w:style>
  <w:style w:type="paragraph" w:styleId="TOC3">
    <w:name w:val="toc 3"/>
    <w:basedOn w:val="TOC2"/>
    <w:next w:val="BodyText"/>
    <w:uiPriority w:val="39"/>
    <w:qFormat/>
    <w:rsid w:val="00DB7F1B"/>
    <w:pPr>
      <w:tabs>
        <w:tab w:val="left" w:pos="1531"/>
      </w:tabs>
      <w:ind w:left="1531" w:hanging="680"/>
    </w:pPr>
  </w:style>
  <w:style w:type="paragraph" w:styleId="TOC4">
    <w:name w:val="toc 4"/>
    <w:basedOn w:val="TOC1"/>
    <w:next w:val="BodyText"/>
    <w:uiPriority w:val="99"/>
    <w:rsid w:val="00EC3F5C"/>
    <w:pPr>
      <w:spacing w:after="240"/>
      <w:ind w:left="0" w:firstLine="0"/>
    </w:pPr>
  </w:style>
  <w:style w:type="paragraph" w:styleId="TOC5">
    <w:name w:val="toc 5"/>
    <w:basedOn w:val="TOC2"/>
    <w:next w:val="BodyText"/>
    <w:uiPriority w:val="99"/>
    <w:rsid w:val="00356F63"/>
  </w:style>
  <w:style w:type="paragraph" w:styleId="TOC6">
    <w:name w:val="toc 6"/>
    <w:basedOn w:val="TOC3"/>
    <w:next w:val="BodyText"/>
    <w:uiPriority w:val="99"/>
    <w:rsid w:val="00356F63"/>
  </w:style>
  <w:style w:type="character" w:customStyle="1" w:styleId="Heading4Char">
    <w:name w:val="Heading 4 Char"/>
    <w:basedOn w:val="DefaultParagraphFont"/>
    <w:link w:val="Heading4"/>
    <w:uiPriority w:val="9"/>
    <w:rsid w:val="00E63984"/>
    <w:rPr>
      <w:rFonts w:ascii="Arial" w:eastAsiaTheme="majorEastAsia" w:hAnsi="Arial" w:cstheme="majorBidi"/>
      <w:iCs/>
      <w:color w:val="E52923" w:themeColor="background2"/>
      <w:sz w:val="32"/>
      <w:szCs w:val="28"/>
    </w:rPr>
  </w:style>
  <w:style w:type="paragraph" w:styleId="TOC7">
    <w:name w:val="toc 7"/>
    <w:basedOn w:val="TOC1"/>
    <w:next w:val="BodyText"/>
    <w:uiPriority w:val="39"/>
    <w:rsid w:val="00C02937"/>
    <w:pPr>
      <w:ind w:left="1418" w:hanging="1418"/>
    </w:pPr>
  </w:style>
  <w:style w:type="character" w:customStyle="1" w:styleId="Heading5Char">
    <w:name w:val="Heading 5 Char"/>
    <w:aliases w:val="(Main Heading) Char"/>
    <w:basedOn w:val="DefaultParagraphFont"/>
    <w:link w:val="Heading5"/>
    <w:uiPriority w:val="10"/>
    <w:rsid w:val="00945BEE"/>
    <w:rPr>
      <w:rFonts w:ascii="Arial" w:eastAsiaTheme="majorEastAsia" w:hAnsi="Arial" w:cstheme="minorHAnsi"/>
      <w:b/>
      <w:iCs/>
      <w:color w:val="00BAD4" w:themeColor="text2"/>
      <w:sz w:val="28"/>
      <w:szCs w:val="24"/>
    </w:rPr>
  </w:style>
  <w:style w:type="paragraph" w:styleId="TOC8">
    <w:name w:val="toc 8"/>
    <w:basedOn w:val="TOC7"/>
    <w:next w:val="BodyText"/>
    <w:uiPriority w:val="39"/>
    <w:rsid w:val="00C02937"/>
    <w:pPr>
      <w:tabs>
        <w:tab w:val="left" w:pos="851"/>
      </w:tabs>
      <w:spacing w:before="60"/>
      <w:ind w:left="850" w:hanging="510"/>
    </w:pPr>
  </w:style>
  <w:style w:type="character" w:customStyle="1" w:styleId="Heading6Char">
    <w:name w:val="Heading 6 Char"/>
    <w:aliases w:val="(Subheading) Char"/>
    <w:basedOn w:val="DefaultParagraphFont"/>
    <w:link w:val="Heading6"/>
    <w:uiPriority w:val="11"/>
    <w:rsid w:val="00E63984"/>
    <w:rPr>
      <w:rFonts w:ascii="Arial" w:eastAsiaTheme="majorEastAsia" w:hAnsi="Arial" w:cstheme="minorHAnsi"/>
      <w:b/>
      <w:color w:val="796E65" w:themeColor="accent4"/>
      <w:sz w:val="24"/>
    </w:rPr>
  </w:style>
  <w:style w:type="paragraph" w:styleId="TOC9">
    <w:name w:val="toc 9"/>
    <w:basedOn w:val="TOC8"/>
    <w:next w:val="BodyText"/>
    <w:uiPriority w:val="39"/>
    <w:rsid w:val="00C02937"/>
    <w:pPr>
      <w:tabs>
        <w:tab w:val="clear" w:pos="851"/>
        <w:tab w:val="left" w:pos="1531"/>
      </w:tabs>
      <w:ind w:left="1531" w:hanging="680"/>
    </w:pPr>
  </w:style>
  <w:style w:type="paragraph" w:styleId="TOCHeading">
    <w:name w:val="TOC Heading"/>
    <w:basedOn w:val="Heading1"/>
    <w:next w:val="BodyText"/>
    <w:uiPriority w:val="99"/>
    <w:qFormat/>
    <w:rsid w:val="00204EE2"/>
    <w:pPr>
      <w:numPr>
        <w:numId w:val="0"/>
      </w:numPr>
      <w:outlineLvl w:val="9"/>
    </w:pPr>
  </w:style>
  <w:style w:type="paragraph" w:customStyle="1" w:styleId="BodyIndent2">
    <w:name w:val="Body Indent 2"/>
    <w:basedOn w:val="BodyBullet2"/>
    <w:uiPriority w:val="99"/>
    <w:rsid w:val="00D47176"/>
    <w:pPr>
      <w:numPr>
        <w:ilvl w:val="0"/>
        <w:numId w:val="0"/>
      </w:numPr>
      <w:ind w:left="680"/>
    </w:pPr>
  </w:style>
  <w:style w:type="paragraph" w:customStyle="1" w:styleId="BodyIndent3">
    <w:name w:val="Body Indent 3"/>
    <w:basedOn w:val="BodyBullet3"/>
    <w:uiPriority w:val="99"/>
    <w:rsid w:val="00D47176"/>
    <w:pPr>
      <w:numPr>
        <w:ilvl w:val="0"/>
        <w:numId w:val="0"/>
      </w:numPr>
      <w:ind w:left="1021"/>
    </w:pPr>
  </w:style>
  <w:style w:type="character" w:styleId="EndnoteReference">
    <w:name w:val="endnote reference"/>
    <w:basedOn w:val="DefaultParagraphFont"/>
    <w:uiPriority w:val="99"/>
    <w:rsid w:val="000F3515"/>
    <w:rPr>
      <w:vertAlign w:val="superscript"/>
    </w:rPr>
  </w:style>
  <w:style w:type="paragraph" w:styleId="ListBullet">
    <w:name w:val="List Bullet"/>
    <w:basedOn w:val="BodyText"/>
    <w:uiPriority w:val="99"/>
    <w:semiHidden/>
    <w:rsid w:val="005C0ABF"/>
    <w:pPr>
      <w:numPr>
        <w:numId w:val="1"/>
      </w:numPr>
      <w:spacing w:before="120" w:after="120"/>
      <w:contextualSpacing/>
    </w:pPr>
  </w:style>
  <w:style w:type="table" w:styleId="TableGrid">
    <w:name w:val="Table Grid"/>
    <w:basedOn w:val="TableNormal"/>
    <w:uiPriority w:val="59"/>
    <w:rsid w:val="00F4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833DC8"/>
    <w:pPr>
      <w:spacing w:before="120" w:after="360"/>
    </w:pPr>
    <w:rPr>
      <w:color w:val="A59C94" w:themeColor="accent3"/>
      <w:sz w:val="18"/>
      <w:szCs w:val="18"/>
    </w:rPr>
  </w:style>
  <w:style w:type="paragraph" w:styleId="ListBullet2">
    <w:name w:val="List Bullet 2"/>
    <w:basedOn w:val="ListBullet"/>
    <w:uiPriority w:val="99"/>
    <w:semiHidden/>
    <w:rsid w:val="00147E56"/>
    <w:pPr>
      <w:numPr>
        <w:ilvl w:val="1"/>
      </w:numPr>
    </w:pPr>
  </w:style>
  <w:style w:type="paragraph" w:customStyle="1" w:styleId="TableText">
    <w:name w:val="Table Text"/>
    <w:uiPriority w:val="2"/>
    <w:qFormat/>
    <w:rsid w:val="00C72A16"/>
    <w:pPr>
      <w:numPr>
        <w:numId w:val="7"/>
      </w:numPr>
      <w:spacing w:before="60" w:after="60" w:line="240" w:lineRule="auto"/>
    </w:pPr>
    <w:rPr>
      <w:rFonts w:ascii="Arial" w:hAnsi="Arial"/>
      <w:sz w:val="18"/>
      <w:szCs w:val="20"/>
    </w:rPr>
  </w:style>
  <w:style w:type="paragraph" w:styleId="EndnoteText">
    <w:name w:val="endnote text"/>
    <w:basedOn w:val="Normal"/>
    <w:link w:val="EndnoteTextChar"/>
    <w:uiPriority w:val="99"/>
    <w:rsid w:val="000F3515"/>
    <w:pPr>
      <w:spacing w:line="240" w:lineRule="auto"/>
      <w:ind w:left="340" w:hanging="340"/>
    </w:pPr>
    <w:rPr>
      <w:sz w:val="18"/>
      <w:szCs w:val="18"/>
    </w:rPr>
  </w:style>
  <w:style w:type="paragraph" w:styleId="ListBullet3">
    <w:name w:val="List Bullet 3"/>
    <w:basedOn w:val="ListBullet2"/>
    <w:uiPriority w:val="99"/>
    <w:semiHidden/>
    <w:rsid w:val="00147E56"/>
    <w:pPr>
      <w:numPr>
        <w:ilvl w:val="2"/>
      </w:numPr>
    </w:pPr>
  </w:style>
  <w:style w:type="character" w:customStyle="1" w:styleId="EndnoteTextChar">
    <w:name w:val="Endnote Text Char"/>
    <w:basedOn w:val="DefaultParagraphFont"/>
    <w:link w:val="EndnoteText"/>
    <w:uiPriority w:val="99"/>
    <w:rsid w:val="000F3515"/>
    <w:rPr>
      <w:rFonts w:ascii="Franklin Gothic Book" w:hAnsi="Franklin Gothic Book"/>
      <w:sz w:val="18"/>
      <w:szCs w:val="18"/>
    </w:rPr>
  </w:style>
  <w:style w:type="paragraph" w:styleId="Footer">
    <w:name w:val="footer"/>
    <w:basedOn w:val="BodyText"/>
    <w:link w:val="FooterChar"/>
    <w:uiPriority w:val="99"/>
    <w:rsid w:val="00224918"/>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C72A16"/>
    <w:rPr>
      <w:rFonts w:ascii="Arial" w:hAnsi="Arial" w:cstheme="minorHAnsi"/>
      <w:noProof/>
      <w:color w:val="000000" w:themeColor="text1"/>
      <w:sz w:val="16"/>
      <w:szCs w:val="18"/>
    </w:rPr>
  </w:style>
  <w:style w:type="character" w:styleId="FootnoteReference">
    <w:name w:val="footnote reference"/>
    <w:basedOn w:val="DefaultParagraphFont"/>
    <w:uiPriority w:val="99"/>
    <w:rsid w:val="00147E56"/>
    <w:rPr>
      <w:vertAlign w:val="superscript"/>
    </w:rPr>
  </w:style>
  <w:style w:type="paragraph" w:styleId="FootnoteText">
    <w:name w:val="footnote text"/>
    <w:basedOn w:val="Normal"/>
    <w:link w:val="FootnoteTextChar"/>
    <w:uiPriority w:val="99"/>
    <w:rsid w:val="00681F21"/>
    <w:pPr>
      <w:spacing w:before="120" w:after="120" w:line="240" w:lineRule="auto"/>
      <w:ind w:left="340" w:hanging="340"/>
    </w:pPr>
    <w:rPr>
      <w:sz w:val="16"/>
      <w:szCs w:val="18"/>
    </w:rPr>
  </w:style>
  <w:style w:type="character" w:customStyle="1" w:styleId="FootnoteTextChar">
    <w:name w:val="Footnote Text Char"/>
    <w:basedOn w:val="DefaultParagraphFont"/>
    <w:link w:val="FootnoteText"/>
    <w:uiPriority w:val="99"/>
    <w:rsid w:val="00681F21"/>
    <w:rPr>
      <w:rFonts w:ascii="Arial" w:hAnsi="Arial"/>
      <w:sz w:val="16"/>
      <w:szCs w:val="18"/>
    </w:rPr>
  </w:style>
  <w:style w:type="paragraph" w:styleId="Header">
    <w:name w:val="header"/>
    <w:basedOn w:val="BodyText"/>
    <w:link w:val="HeaderChar"/>
    <w:uiPriority w:val="99"/>
    <w:rsid w:val="00792161"/>
    <w:pPr>
      <w:spacing w:before="0" w:after="840" w:line="240" w:lineRule="auto"/>
    </w:pPr>
    <w:rPr>
      <w:color w:val="00BAD4" w:themeColor="text2"/>
      <w:sz w:val="18"/>
      <w:szCs w:val="18"/>
    </w:rPr>
  </w:style>
  <w:style w:type="character" w:customStyle="1" w:styleId="HeaderChar">
    <w:name w:val="Header Char"/>
    <w:basedOn w:val="DefaultParagraphFont"/>
    <w:link w:val="Header"/>
    <w:uiPriority w:val="99"/>
    <w:rsid w:val="00C72A16"/>
    <w:rPr>
      <w:rFonts w:ascii="Arial" w:hAnsi="Arial"/>
      <w:color w:val="00BAD4" w:themeColor="text2"/>
      <w:sz w:val="18"/>
      <w:szCs w:val="18"/>
    </w:rPr>
  </w:style>
  <w:style w:type="character" w:styleId="Hyperlink">
    <w:name w:val="Hyperlink"/>
    <w:basedOn w:val="DefaultParagraphFont"/>
    <w:uiPriority w:val="99"/>
    <w:rsid w:val="004C7C8E"/>
    <w:rPr>
      <w:color w:val="005C6A" w:themeColor="text2" w:themeShade="80"/>
      <w:u w:val="single"/>
    </w:rPr>
  </w:style>
  <w:style w:type="paragraph" w:styleId="ListNumber">
    <w:name w:val="List Number"/>
    <w:basedOn w:val="BodyText"/>
    <w:uiPriority w:val="99"/>
    <w:semiHidden/>
    <w:rsid w:val="00147E56"/>
    <w:pPr>
      <w:numPr>
        <w:numId w:val="2"/>
      </w:numPr>
      <w:contextualSpacing/>
    </w:pPr>
  </w:style>
  <w:style w:type="paragraph" w:styleId="ListNumber2">
    <w:name w:val="List Number 2"/>
    <w:basedOn w:val="ListNumber"/>
    <w:uiPriority w:val="99"/>
    <w:semiHidden/>
    <w:rsid w:val="00147E56"/>
    <w:pPr>
      <w:numPr>
        <w:numId w:val="3"/>
      </w:numPr>
    </w:pPr>
  </w:style>
  <w:style w:type="paragraph" w:styleId="ListNumber3">
    <w:name w:val="List Number 3"/>
    <w:basedOn w:val="List2"/>
    <w:uiPriority w:val="99"/>
    <w:semiHidden/>
    <w:rsid w:val="00147E56"/>
    <w:pPr>
      <w:numPr>
        <w:numId w:val="4"/>
      </w:numPr>
    </w:pPr>
  </w:style>
  <w:style w:type="character" w:styleId="PageNumber">
    <w:name w:val="page number"/>
    <w:basedOn w:val="DefaultParagraphFont"/>
    <w:uiPriority w:val="99"/>
    <w:semiHidden/>
    <w:rsid w:val="00147E56"/>
  </w:style>
  <w:style w:type="paragraph" w:styleId="List2">
    <w:name w:val="List 2"/>
    <w:basedOn w:val="Normal"/>
    <w:uiPriority w:val="99"/>
    <w:semiHidden/>
    <w:rsid w:val="00147E56"/>
    <w:pPr>
      <w:ind w:left="566" w:hanging="283"/>
      <w:contextualSpacing/>
    </w:pPr>
  </w:style>
  <w:style w:type="paragraph" w:styleId="TableofFigures">
    <w:name w:val="table of figures"/>
    <w:basedOn w:val="TOC1"/>
    <w:next w:val="BodyText"/>
    <w:uiPriority w:val="99"/>
    <w:rsid w:val="00E8345F"/>
    <w:pPr>
      <w:spacing w:before="60"/>
      <w:ind w:left="1701" w:hanging="1701"/>
    </w:pPr>
    <w:rPr>
      <w:color w:val="000000" w:themeColor="text1"/>
    </w:rPr>
  </w:style>
  <w:style w:type="character" w:customStyle="1" w:styleId="Heading7Char">
    <w:name w:val="Heading 7 Char"/>
    <w:aliases w:val="(Appendix Heading) Char"/>
    <w:basedOn w:val="DefaultParagraphFont"/>
    <w:link w:val="Heading7"/>
    <w:uiPriority w:val="12"/>
    <w:rsid w:val="0057465A"/>
    <w:rPr>
      <w:rFonts w:ascii="Arial" w:eastAsiaTheme="majorEastAsia" w:hAnsi="Arial" w:cstheme="majorBidi"/>
      <w:bCs/>
      <w:iCs/>
      <w:color w:val="E52923" w:themeColor="background2"/>
      <w:sz w:val="44"/>
      <w:szCs w:val="40"/>
    </w:rPr>
  </w:style>
  <w:style w:type="paragraph" w:customStyle="1" w:styleId="TableBullet1">
    <w:name w:val="Table Bullet 1"/>
    <w:basedOn w:val="TableText"/>
    <w:uiPriority w:val="3"/>
    <w:qFormat/>
    <w:rsid w:val="00C219C7"/>
    <w:pPr>
      <w:numPr>
        <w:numId w:val="6"/>
      </w:numPr>
    </w:pPr>
  </w:style>
  <w:style w:type="paragraph" w:customStyle="1" w:styleId="TableBullet2">
    <w:name w:val="Table Bullet 2"/>
    <w:basedOn w:val="TableBullet1"/>
    <w:uiPriority w:val="3"/>
    <w:qFormat/>
    <w:rsid w:val="00C219C7"/>
    <w:pPr>
      <w:numPr>
        <w:ilvl w:val="1"/>
      </w:numPr>
    </w:pPr>
  </w:style>
  <w:style w:type="paragraph" w:customStyle="1" w:styleId="BodyNumbering1">
    <w:name w:val="Body Numbering 1"/>
    <w:basedOn w:val="BodyBullet1"/>
    <w:uiPriority w:val="7"/>
    <w:qFormat/>
    <w:rsid w:val="00320D25"/>
    <w:pPr>
      <w:numPr>
        <w:ilvl w:val="3"/>
      </w:numPr>
    </w:pPr>
  </w:style>
  <w:style w:type="paragraph" w:customStyle="1" w:styleId="BodyNumbering2">
    <w:name w:val="Body Numbering 2"/>
    <w:basedOn w:val="BodyNumbering1"/>
    <w:uiPriority w:val="7"/>
    <w:qFormat/>
    <w:rsid w:val="00E43A9F"/>
    <w:pPr>
      <w:numPr>
        <w:ilvl w:val="4"/>
      </w:numPr>
    </w:pPr>
  </w:style>
  <w:style w:type="paragraph" w:customStyle="1" w:styleId="BodyBullet1">
    <w:name w:val="Body Bullet 1"/>
    <w:basedOn w:val="BodyText"/>
    <w:uiPriority w:val="1"/>
    <w:qFormat/>
    <w:rsid w:val="00E6021A"/>
    <w:pPr>
      <w:numPr>
        <w:numId w:val="5"/>
      </w:numPr>
      <w:spacing w:before="120" w:after="120"/>
    </w:pPr>
  </w:style>
  <w:style w:type="paragraph" w:customStyle="1" w:styleId="BodyBullet2">
    <w:name w:val="Body Bullet 2"/>
    <w:basedOn w:val="BodyBullet1"/>
    <w:uiPriority w:val="1"/>
    <w:qFormat/>
    <w:rsid w:val="00464C87"/>
    <w:pPr>
      <w:numPr>
        <w:ilvl w:val="1"/>
      </w:numPr>
    </w:pPr>
  </w:style>
  <w:style w:type="paragraph" w:customStyle="1" w:styleId="BodyBullet3">
    <w:name w:val="Body Bullet 3"/>
    <w:basedOn w:val="BodyBullet2"/>
    <w:uiPriority w:val="1"/>
    <w:qFormat/>
    <w:rsid w:val="00464C87"/>
    <w:pPr>
      <w:numPr>
        <w:ilvl w:val="2"/>
      </w:numPr>
    </w:pPr>
  </w:style>
  <w:style w:type="paragraph" w:customStyle="1" w:styleId="BodyNumbering3">
    <w:name w:val="Body Numbering 3"/>
    <w:basedOn w:val="BodyNumbering2"/>
    <w:uiPriority w:val="7"/>
    <w:qFormat/>
    <w:rsid w:val="00E43A9F"/>
    <w:pPr>
      <w:numPr>
        <w:ilvl w:val="5"/>
      </w:numPr>
    </w:pPr>
  </w:style>
  <w:style w:type="paragraph" w:customStyle="1" w:styleId="BodyIndent1">
    <w:name w:val="Body Indent 1"/>
    <w:basedOn w:val="BodyBullet1"/>
    <w:uiPriority w:val="99"/>
    <w:rsid w:val="00D47176"/>
    <w:pPr>
      <w:numPr>
        <w:numId w:val="0"/>
      </w:numPr>
      <w:ind w:left="340"/>
    </w:pPr>
  </w:style>
  <w:style w:type="paragraph" w:customStyle="1" w:styleId="TableBullet3">
    <w:name w:val="Table Bullet 3"/>
    <w:basedOn w:val="TableBullet2"/>
    <w:uiPriority w:val="3"/>
    <w:qFormat/>
    <w:rsid w:val="00C219C7"/>
    <w:pPr>
      <w:numPr>
        <w:ilvl w:val="2"/>
      </w:numPr>
    </w:pPr>
  </w:style>
  <w:style w:type="paragraph" w:customStyle="1" w:styleId="TableNumbering1">
    <w:name w:val="Table Numbering 1"/>
    <w:basedOn w:val="TableBullet1"/>
    <w:uiPriority w:val="99"/>
    <w:rsid w:val="005C44B4"/>
    <w:pPr>
      <w:numPr>
        <w:ilvl w:val="3"/>
      </w:numPr>
    </w:pPr>
  </w:style>
  <w:style w:type="paragraph" w:customStyle="1" w:styleId="TableNumbering2">
    <w:name w:val="Table Numbering 2"/>
    <w:basedOn w:val="TableNumbering1"/>
    <w:uiPriority w:val="99"/>
    <w:rsid w:val="005C44B4"/>
    <w:pPr>
      <w:numPr>
        <w:ilvl w:val="4"/>
      </w:numPr>
    </w:pPr>
  </w:style>
  <w:style w:type="paragraph" w:customStyle="1" w:styleId="TableNumbering3">
    <w:name w:val="Table Numbering 3"/>
    <w:basedOn w:val="TableNumbering2"/>
    <w:uiPriority w:val="99"/>
    <w:rsid w:val="005C44B4"/>
    <w:pPr>
      <w:numPr>
        <w:ilvl w:val="5"/>
      </w:numPr>
    </w:pPr>
  </w:style>
  <w:style w:type="paragraph" w:customStyle="1" w:styleId="TableIndent1">
    <w:name w:val="Table Indent 1"/>
    <w:basedOn w:val="TableBullet1"/>
    <w:uiPriority w:val="99"/>
    <w:rsid w:val="007913F5"/>
    <w:pPr>
      <w:numPr>
        <w:numId w:val="0"/>
      </w:numPr>
      <w:ind w:left="340"/>
    </w:pPr>
  </w:style>
  <w:style w:type="paragraph" w:customStyle="1" w:styleId="TableIndent2">
    <w:name w:val="Table Indent 2"/>
    <w:basedOn w:val="TableBullet2"/>
    <w:uiPriority w:val="99"/>
    <w:rsid w:val="007913F5"/>
    <w:pPr>
      <w:numPr>
        <w:ilvl w:val="0"/>
        <w:numId w:val="0"/>
      </w:numPr>
      <w:ind w:left="680"/>
    </w:pPr>
  </w:style>
  <w:style w:type="paragraph" w:customStyle="1" w:styleId="TableIndent3">
    <w:name w:val="Table Indent 3"/>
    <w:basedOn w:val="TableBullet3"/>
    <w:uiPriority w:val="99"/>
    <w:rsid w:val="007913F5"/>
    <w:pPr>
      <w:numPr>
        <w:ilvl w:val="0"/>
        <w:numId w:val="0"/>
      </w:numPr>
      <w:ind w:left="1021"/>
    </w:pPr>
  </w:style>
  <w:style w:type="table" w:customStyle="1" w:styleId="MainTableStyle">
    <w:name w:val="Main Table Style"/>
    <w:basedOn w:val="TableNormal"/>
    <w:uiPriority w:val="99"/>
    <w:rsid w:val="00204431"/>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widowControl/>
        <w:wordWrap/>
        <w:jc w:val="left"/>
      </w:pPr>
      <w:rPr>
        <w:b/>
        <w:color w:val="FFFFFF" w:themeColor="background1"/>
      </w:rPr>
      <w:tblPr/>
      <w:trPr>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C749CF"/>
    <w:pPr>
      <w:spacing w:before="0" w:after="0" w:line="240" w:lineRule="auto"/>
    </w:pPr>
  </w:style>
  <w:style w:type="table" w:customStyle="1" w:styleId="RowMainTableStyle">
    <w:name w:val="Row Main Table Style"/>
    <w:basedOn w:val="TableNormal"/>
    <w:uiPriority w:val="99"/>
    <w:rsid w:val="001B5D17"/>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BE00B4"/>
    <w:rPr>
      <w:color w:val="00BAD4" w:themeColor="text2"/>
    </w:rPr>
  </w:style>
  <w:style w:type="character" w:customStyle="1" w:styleId="CharacterStyle-BrightColour">
    <w:name w:val="Character Style - Bright Colour"/>
    <w:uiPriority w:val="11"/>
    <w:qFormat/>
    <w:rsid w:val="00D00307"/>
    <w:rPr>
      <w:color w:val="E52923" w:themeColor="background2"/>
    </w:rPr>
  </w:style>
  <w:style w:type="paragraph" w:customStyle="1" w:styleId="CoverTitle">
    <w:name w:val="Cover Title"/>
    <w:basedOn w:val="Normal"/>
    <w:next w:val="CoverSubtitle"/>
    <w:rsid w:val="00722ADF"/>
    <w:pPr>
      <w:spacing w:before="0" w:after="0"/>
    </w:pPr>
    <w:rPr>
      <w:color w:val="000000" w:themeColor="text1"/>
      <w:sz w:val="40"/>
    </w:rPr>
  </w:style>
  <w:style w:type="paragraph" w:customStyle="1" w:styleId="CoverSubtitle">
    <w:name w:val="Cover Subtitle"/>
    <w:basedOn w:val="BodyText"/>
    <w:next w:val="CoverDate"/>
    <w:rsid w:val="00E410BE"/>
    <w:pPr>
      <w:spacing w:before="40"/>
    </w:pPr>
    <w:rPr>
      <w:color w:val="00BAD4" w:themeColor="text2"/>
      <w:sz w:val="36"/>
      <w:szCs w:val="76"/>
    </w:rPr>
  </w:style>
  <w:style w:type="paragraph" w:customStyle="1" w:styleId="CoverDate">
    <w:name w:val="Cover Date"/>
    <w:basedOn w:val="Normal"/>
    <w:next w:val="BodyText"/>
    <w:rsid w:val="0067362F"/>
    <w:rPr>
      <w:color w:val="A59C94" w:themeColor="accent3"/>
      <w:sz w:val="28"/>
      <w:szCs w:val="48"/>
    </w:rPr>
  </w:style>
  <w:style w:type="paragraph" w:customStyle="1" w:styleId="Spacer">
    <w:name w:val="Spacer"/>
    <w:basedOn w:val="BodyTextSingleSpacing"/>
    <w:rsid w:val="00EC3F5C"/>
  </w:style>
  <w:style w:type="paragraph" w:styleId="BalloonText">
    <w:name w:val="Balloon Text"/>
    <w:basedOn w:val="Normal"/>
    <w:link w:val="BalloonTextChar"/>
    <w:uiPriority w:val="99"/>
    <w:semiHidden/>
    <w:rsid w:val="009124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09"/>
    <w:rPr>
      <w:rFonts w:ascii="Tahoma" w:hAnsi="Tahoma" w:cs="Tahoma"/>
      <w:sz w:val="16"/>
      <w:szCs w:val="16"/>
    </w:rPr>
  </w:style>
  <w:style w:type="paragraph" w:customStyle="1" w:styleId="Heading1NoNumber">
    <w:name w:val="Heading 1 No Number"/>
    <w:basedOn w:val="Heading1"/>
    <w:next w:val="BodyText"/>
    <w:rsid w:val="00096257"/>
    <w:pPr>
      <w:numPr>
        <w:numId w:val="0"/>
      </w:numPr>
    </w:pPr>
  </w:style>
  <w:style w:type="paragraph" w:styleId="Date">
    <w:name w:val="Date"/>
    <w:basedOn w:val="BodyText"/>
    <w:next w:val="BodyTextSingleSpacing"/>
    <w:link w:val="DateChar"/>
    <w:uiPriority w:val="99"/>
    <w:semiHidden/>
    <w:rsid w:val="00F47F1C"/>
    <w:pPr>
      <w:pageBreakBefore/>
      <w:spacing w:after="720"/>
    </w:pPr>
  </w:style>
  <w:style w:type="character" w:customStyle="1" w:styleId="DateChar">
    <w:name w:val="Date Char"/>
    <w:basedOn w:val="DefaultParagraphFont"/>
    <w:link w:val="Date"/>
    <w:uiPriority w:val="99"/>
    <w:semiHidden/>
    <w:rsid w:val="00622B87"/>
    <w:rPr>
      <w:rFonts w:ascii="Arial" w:hAnsi="Arial"/>
      <w:color w:val="000000" w:themeColor="text1"/>
    </w:rPr>
  </w:style>
  <w:style w:type="paragraph" w:styleId="Signature">
    <w:name w:val="Signature"/>
    <w:basedOn w:val="BodyText"/>
    <w:next w:val="BodyTextSingleSpacing"/>
    <w:link w:val="SignatureChar"/>
    <w:uiPriority w:val="99"/>
    <w:semiHidden/>
    <w:rsid w:val="007F7872"/>
    <w:pPr>
      <w:keepNext/>
      <w:spacing w:before="360" w:after="360"/>
    </w:pPr>
  </w:style>
  <w:style w:type="character" w:customStyle="1" w:styleId="SignatureChar">
    <w:name w:val="Signature Char"/>
    <w:basedOn w:val="DefaultParagraphFont"/>
    <w:link w:val="Signature"/>
    <w:uiPriority w:val="99"/>
    <w:semiHidden/>
    <w:rsid w:val="00622B87"/>
    <w:rPr>
      <w:rFonts w:ascii="Arial" w:hAnsi="Arial"/>
      <w:color w:val="000000" w:themeColor="text1"/>
    </w:rPr>
  </w:style>
  <w:style w:type="paragraph" w:customStyle="1" w:styleId="SubjectLine">
    <w:name w:val="Subject Line"/>
    <w:basedOn w:val="BodyText"/>
    <w:next w:val="BodyText"/>
    <w:semiHidden/>
    <w:rsid w:val="00A12388"/>
    <w:rPr>
      <w:b/>
      <w:caps/>
    </w:rPr>
  </w:style>
  <w:style w:type="paragraph" w:customStyle="1" w:styleId="Yourssincerely">
    <w:name w:val="Yours sincerely"/>
    <w:basedOn w:val="BodyText"/>
    <w:next w:val="Signature"/>
    <w:uiPriority w:val="99"/>
    <w:semiHidden/>
    <w:rsid w:val="00462270"/>
    <w:pPr>
      <w:keepNext/>
    </w:pPr>
  </w:style>
  <w:style w:type="paragraph" w:customStyle="1" w:styleId="Disclaimer">
    <w:name w:val="Disclaimer"/>
    <w:basedOn w:val="Normal"/>
    <w:next w:val="BodyText"/>
    <w:semiHidden/>
    <w:rsid w:val="00606B19"/>
    <w:pPr>
      <w:spacing w:before="3000" w:line="240" w:lineRule="auto"/>
    </w:pPr>
    <w:rPr>
      <w:sz w:val="16"/>
      <w:szCs w:val="16"/>
    </w:rPr>
  </w:style>
  <w:style w:type="paragraph" w:styleId="TableofAuthorities">
    <w:name w:val="table of authorities"/>
    <w:basedOn w:val="TableofFigures"/>
    <w:next w:val="BodyText"/>
    <w:uiPriority w:val="99"/>
    <w:semiHidden/>
    <w:rsid w:val="00C52836"/>
  </w:style>
  <w:style w:type="paragraph" w:customStyle="1" w:styleId="Citationtext">
    <w:name w:val="Citation text"/>
    <w:basedOn w:val="BodyText"/>
    <w:rsid w:val="00A909CA"/>
    <w:pPr>
      <w:spacing w:before="360" w:after="360"/>
    </w:pPr>
    <w:rPr>
      <w:i/>
      <w:color w:val="00BAD4" w:themeColor="text2"/>
      <w:sz w:val="24"/>
    </w:rPr>
  </w:style>
  <w:style w:type="character" w:customStyle="1" w:styleId="Heading8Char">
    <w:name w:val="Heading 8 Char"/>
    <w:basedOn w:val="DefaultParagraphFont"/>
    <w:link w:val="Heading8"/>
    <w:uiPriority w:val="12"/>
    <w:rsid w:val="00945BEE"/>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945BEE"/>
    <w:rPr>
      <w:rFonts w:asciiTheme="majorHAnsi" w:eastAsiaTheme="majorEastAsia" w:hAnsiTheme="majorHAnsi" w:cstheme="majorBidi"/>
      <w:bCs/>
      <w:color w:val="796E65" w:themeColor="accent4"/>
      <w:sz w:val="32"/>
      <w:szCs w:val="20"/>
    </w:rPr>
  </w:style>
  <w:style w:type="paragraph" w:customStyle="1" w:styleId="Object">
    <w:name w:val="Object"/>
    <w:basedOn w:val="BodyText"/>
    <w:next w:val="BodyText"/>
    <w:uiPriority w:val="4"/>
    <w:qFormat/>
    <w:rsid w:val="0078236F"/>
    <w:pPr>
      <w:spacing w:after="360" w:line="240" w:lineRule="auto"/>
    </w:pPr>
  </w:style>
  <w:style w:type="character" w:styleId="PlaceholderText">
    <w:name w:val="Placeholder Text"/>
    <w:basedOn w:val="DefaultParagraphFont"/>
    <w:uiPriority w:val="99"/>
    <w:rsid w:val="004C5028"/>
    <w:rPr>
      <w:color w:val="808080"/>
    </w:rPr>
  </w:style>
  <w:style w:type="paragraph" w:styleId="Quote">
    <w:name w:val="Quote"/>
    <w:basedOn w:val="BodyText"/>
    <w:next w:val="BodyText"/>
    <w:link w:val="QuoteChar"/>
    <w:uiPriority w:val="9"/>
    <w:qFormat/>
    <w:rsid w:val="009560F7"/>
    <w:pPr>
      <w:pBdr>
        <w:left w:val="thinThickSmallGap" w:sz="12" w:space="10" w:color="00B398" w:themeColor="accent5"/>
      </w:pBdr>
      <w:spacing w:after="0" w:line="240" w:lineRule="auto"/>
      <w:ind w:left="680" w:right="680"/>
    </w:pPr>
    <w:rPr>
      <w:i/>
      <w:iCs/>
      <w:color w:val="00B398" w:themeColor="accent5"/>
    </w:rPr>
  </w:style>
  <w:style w:type="character" w:customStyle="1" w:styleId="QuoteChar">
    <w:name w:val="Quote Char"/>
    <w:basedOn w:val="DefaultParagraphFont"/>
    <w:link w:val="Quote"/>
    <w:uiPriority w:val="9"/>
    <w:rsid w:val="009560F7"/>
    <w:rPr>
      <w:rFonts w:ascii="Arial" w:hAnsi="Arial"/>
      <w:i/>
      <w:iCs/>
      <w:color w:val="00B398" w:themeColor="accent5"/>
    </w:rPr>
  </w:style>
  <w:style w:type="paragraph" w:customStyle="1" w:styleId="PageNo">
    <w:name w:val="Page No"/>
    <w:basedOn w:val="Footer"/>
    <w:link w:val="PageNoChar"/>
    <w:rsid w:val="00C4493C"/>
    <w:pPr>
      <w:jc w:val="right"/>
    </w:pPr>
    <w:rPr>
      <w:color w:val="auto"/>
    </w:rPr>
  </w:style>
  <w:style w:type="paragraph" w:customStyle="1" w:styleId="TableHeadingWhiteFont">
    <w:name w:val="Table Heading White Font"/>
    <w:basedOn w:val="TableText"/>
    <w:rsid w:val="00207206"/>
    <w:rPr>
      <w:color w:val="FFFFFF" w:themeColor="background1"/>
    </w:rPr>
  </w:style>
  <w:style w:type="character" w:customStyle="1" w:styleId="PageNoChar">
    <w:name w:val="Page No Char"/>
    <w:basedOn w:val="FooterChar"/>
    <w:link w:val="PageNo"/>
    <w:rsid w:val="00C4493C"/>
    <w:rPr>
      <w:rFonts w:ascii="Arial" w:hAnsi="Arial" w:cstheme="minorHAnsi"/>
      <w:noProof/>
      <w:color w:val="000000" w:themeColor="text1"/>
      <w:sz w:val="16"/>
      <w:szCs w:val="18"/>
    </w:rPr>
  </w:style>
  <w:style w:type="paragraph" w:customStyle="1" w:styleId="IntroText">
    <w:name w:val="Intro Text"/>
    <w:basedOn w:val="BodyText"/>
    <w:rsid w:val="00D00307"/>
    <w:pPr>
      <w:keepNext/>
      <w:spacing w:before="360" w:after="360"/>
    </w:pPr>
    <w:rPr>
      <w:color w:val="A59C94" w:themeColor="accent3"/>
      <w:sz w:val="28"/>
    </w:rPr>
  </w:style>
  <w:style w:type="paragraph" w:customStyle="1" w:styleId="Heading2NoNumber">
    <w:name w:val="Heading 2 No Number"/>
    <w:basedOn w:val="Heading2"/>
    <w:uiPriority w:val="99"/>
    <w:qFormat/>
    <w:rsid w:val="00E43680"/>
    <w:pPr>
      <w:numPr>
        <w:ilvl w:val="0"/>
        <w:numId w:val="0"/>
      </w:numPr>
    </w:pPr>
  </w:style>
  <w:style w:type="paragraph" w:customStyle="1" w:styleId="Heading3NoNumber">
    <w:name w:val="Heading 3 No Number"/>
    <w:basedOn w:val="Heading3"/>
    <w:uiPriority w:val="99"/>
    <w:qFormat/>
    <w:rsid w:val="00E43680"/>
    <w:pPr>
      <w:numPr>
        <w:ilvl w:val="0"/>
        <w:numId w:val="0"/>
      </w:numPr>
    </w:pPr>
  </w:style>
  <w:style w:type="paragraph" w:customStyle="1" w:styleId="Calloutheading">
    <w:name w:val="Callout heading"/>
    <w:basedOn w:val="BodyText"/>
    <w:uiPriority w:val="9"/>
    <w:qFormat/>
    <w:rsid w:val="00E8345F"/>
    <w:pPr>
      <w:spacing w:before="0" w:after="120"/>
    </w:pPr>
    <w:rPr>
      <w:b/>
      <w:color w:val="95A61E" w:themeColor="accent1" w:themeShade="BF"/>
    </w:rPr>
  </w:style>
  <w:style w:type="paragraph" w:customStyle="1" w:styleId="ChapterTitle">
    <w:name w:val="Chapter Title"/>
    <w:basedOn w:val="BodyText"/>
    <w:uiPriority w:val="99"/>
    <w:qFormat/>
    <w:rsid w:val="00722ADF"/>
    <w:rPr>
      <w:sz w:val="68"/>
    </w:rPr>
  </w:style>
  <w:style w:type="paragraph" w:customStyle="1" w:styleId="ChapterSubtitle">
    <w:name w:val="Chapter Subtitle"/>
    <w:basedOn w:val="ChapterTitle"/>
    <w:next w:val="BodyText"/>
    <w:uiPriority w:val="99"/>
    <w:qFormat/>
    <w:rsid w:val="00713D80"/>
    <w:rPr>
      <w:color w:val="796E65" w:themeColor="accent4"/>
      <w:sz w:val="56"/>
    </w:rPr>
  </w:style>
  <w:style w:type="character" w:customStyle="1" w:styleId="CharacterStyle-Italic">
    <w:name w:val="Character Style - Italic"/>
    <w:basedOn w:val="CharacterStyle-BrightColour"/>
    <w:uiPriority w:val="1"/>
    <w:qFormat/>
    <w:rsid w:val="008F23F7"/>
    <w:rPr>
      <w:i/>
      <w:color w:val="auto"/>
    </w:rPr>
  </w:style>
  <w:style w:type="character" w:customStyle="1" w:styleId="CharacterStyle-Underline">
    <w:name w:val="Character Style - Underline"/>
    <w:basedOn w:val="DefaultParagraphFont"/>
    <w:uiPriority w:val="1"/>
    <w:qFormat/>
    <w:rsid w:val="008F23F7"/>
    <w:rPr>
      <w:u w:val="single"/>
    </w:rPr>
  </w:style>
  <w:style w:type="character" w:customStyle="1" w:styleId="CharacterStyle-Bold">
    <w:name w:val="Character Style - Bold"/>
    <w:basedOn w:val="DefaultParagraphFont"/>
    <w:uiPriority w:val="1"/>
    <w:qFormat/>
    <w:rsid w:val="008F23F7"/>
    <w:rPr>
      <w:b/>
    </w:rPr>
  </w:style>
  <w:style w:type="character" w:customStyle="1" w:styleId="CharacterStyle-Subscript">
    <w:name w:val="Character Style - Subscript"/>
    <w:basedOn w:val="DefaultParagraphFont"/>
    <w:uiPriority w:val="1"/>
    <w:qFormat/>
    <w:rsid w:val="008F23F7"/>
    <w:rPr>
      <w:vertAlign w:val="subscript"/>
    </w:rPr>
  </w:style>
  <w:style w:type="character" w:customStyle="1" w:styleId="CharacterStyle-Superscript">
    <w:name w:val="Character Style - Superscript"/>
    <w:basedOn w:val="DefaultParagraphFont"/>
    <w:uiPriority w:val="1"/>
    <w:qFormat/>
    <w:rsid w:val="008F23F7"/>
    <w:rPr>
      <w:vertAlign w:val="superscript"/>
    </w:rPr>
  </w:style>
  <w:style w:type="character" w:customStyle="1" w:styleId="CharacterStyle-Highlight">
    <w:name w:val="Character Style - Highlight"/>
    <w:basedOn w:val="DefaultParagraphFont"/>
    <w:uiPriority w:val="1"/>
    <w:qFormat/>
    <w:rsid w:val="0057465A"/>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57465A"/>
    <w:rPr>
      <w:strike/>
      <w:dstrike w:val="0"/>
    </w:rPr>
  </w:style>
  <w:style w:type="paragraph" w:customStyle="1" w:styleId="Callouttext">
    <w:name w:val="Callout text"/>
    <w:basedOn w:val="Calloutheading"/>
    <w:uiPriority w:val="9"/>
    <w:qFormat/>
    <w:rsid w:val="00E8345F"/>
    <w:pPr>
      <w:spacing w:before="120"/>
    </w:pPr>
    <w:rPr>
      <w:b w:val="0"/>
      <w:color w:val="5A524B" w:themeColor="accent4" w:themeShade="BF"/>
    </w:rPr>
  </w:style>
  <w:style w:type="character" w:styleId="FollowedHyperlink">
    <w:name w:val="FollowedHyperlink"/>
    <w:basedOn w:val="DefaultParagraphFont"/>
    <w:uiPriority w:val="99"/>
    <w:rsid w:val="004C7C8E"/>
    <w:rPr>
      <w:color w:val="A59C94" w:themeColor="accent3"/>
      <w:u w:val="single"/>
    </w:rPr>
  </w:style>
  <w:style w:type="character" w:customStyle="1" w:styleId="Callouttextcolour">
    <w:name w:val="Callout text colour"/>
    <w:basedOn w:val="DefaultParagraphFont"/>
    <w:uiPriority w:val="1"/>
    <w:qFormat/>
    <w:rsid w:val="00100D55"/>
    <w:rPr>
      <w:color w:val="796E65" w:themeColor="accent4"/>
      <w:lang w:val="en-GB"/>
    </w:rPr>
  </w:style>
  <w:style w:type="paragraph" w:styleId="Revision">
    <w:name w:val="Revision"/>
    <w:hidden/>
    <w:uiPriority w:val="99"/>
    <w:semiHidden/>
    <w:rsid w:val="0040234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70439">
      <w:bodyDiv w:val="1"/>
      <w:marLeft w:val="0"/>
      <w:marRight w:val="0"/>
      <w:marTop w:val="0"/>
      <w:marBottom w:val="0"/>
      <w:divBdr>
        <w:top w:val="none" w:sz="0" w:space="0" w:color="auto"/>
        <w:left w:val="none" w:sz="0" w:space="0" w:color="auto"/>
        <w:bottom w:val="none" w:sz="0" w:space="0" w:color="auto"/>
        <w:right w:val="none" w:sz="0" w:space="0" w:color="auto"/>
      </w:divBdr>
    </w:div>
    <w:div w:id="5279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SafeSync\Metuant%20client%20work\Melbourne%20Metro%20Rail%20Authority\Templates\MMRA%20EES%20template.dotx" TargetMode="External"/></Relationships>
</file>

<file path=word/theme/theme1.xml><?xml version="1.0" encoding="utf-8"?>
<a:theme xmlns:a="http://schemas.openxmlformats.org/drawingml/2006/main" name="Office Theme">
  <a:themeElements>
    <a:clrScheme name="MMRA">
      <a:dk1>
        <a:sysClr val="windowText" lastClr="000000"/>
      </a:dk1>
      <a:lt1>
        <a:sysClr val="window" lastClr="FFFFFF"/>
      </a:lt1>
      <a:dk2>
        <a:srgbClr val="00BAD4"/>
      </a:dk2>
      <a:lt2>
        <a:srgbClr val="E52923"/>
      </a:lt2>
      <a:accent1>
        <a:srgbClr val="C4D92E"/>
      </a:accent1>
      <a:accent2>
        <a:srgbClr val="FFE72E"/>
      </a:accent2>
      <a:accent3>
        <a:srgbClr val="A59C94"/>
      </a:accent3>
      <a:accent4>
        <a:srgbClr val="796E65"/>
      </a:accent4>
      <a:accent5>
        <a:srgbClr val="00B398"/>
      </a:accent5>
      <a:accent6>
        <a:srgbClr val="FF671F"/>
      </a:accent6>
      <a:hlink>
        <a:srgbClr val="FAC606"/>
      </a:hlink>
      <a:folHlink>
        <a:srgbClr val="F6F5F4"/>
      </a:folHlink>
    </a:clrScheme>
    <a:fontScheme name="MMRA Fon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CMS332569</Abstract>
  <CompanyAddress>MMR-AJM-PWAA-RP-NN-000817</CompanyAddress>
  <CompanyPhone>P2</CompanyPhone>
  <CompanyFax>MMRA</CompanyFax>
  <CompanyEmail>Glossary</CompanyEmail>
</CoverPageProperties>
</file>

<file path=customXml/item2.xml><?xml version="1.0" encoding="utf-8"?>
<b:Sources xmlns:b="http://schemas.openxmlformats.org/officeDocument/2006/bibliography" xmlns="http://schemas.openxmlformats.org/officeDocument/2006/bibliography" SelectedStyle="\APA.XSL" StyleName="APA">
  <b:Source>
    <b:Tag>smi04</b:Tag>
    <b:SourceType>Book</b:SourceType>
    <b:Guid>{94430D2E-3D69-4BAA-9E89-6C408CED36CB}</b:Guid>
    <b:Author>
      <b:Author>
        <b:NameList>
          <b:Person>
            <b:Last>smirt</b:Last>
            <b:First>meg</b:First>
          </b:Person>
        </b:NameList>
      </b:Author>
    </b:Author>
    <b:Title>book of journey</b:Title>
    <b:Year>2004</b:Year>
    <b:City>melbourne</b:City>
    <b:Publisher>drfm</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1E6EBF-20AC-4294-99FA-9EAB3BD1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MMRA EES template</Template>
  <TotalTime>14</TotalTime>
  <Pages>1</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EES - Chapter 1 to 8</vt:lpstr>
    </vt:vector>
  </TitlesOfParts>
  <Company/>
  <LinksUpToDate>false</LinksUpToDate>
  <CharactersWithSpaces>20760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 Chapter 1 to 8</dc:title>
  <dc:creator>Metuant</dc:creator>
  <cp:lastModifiedBy>David Kinder</cp:lastModifiedBy>
  <cp:revision>10</cp:revision>
  <cp:lastPrinted>2016-05-16T04:22:00Z</cp:lastPrinted>
  <dcterms:created xsi:type="dcterms:W3CDTF">2016-05-02T04:35:00Z</dcterms:created>
  <dcterms:modified xsi:type="dcterms:W3CDTF">2016-05-23T02:13:00Z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000808</vt:lpwstr>
  </property>
  <property fmtid="{D5CDD505-2E9C-101B-9397-08002B2CF9AE}" pid="3" name="Area">
    <vt:lpwstr>AA Overall</vt:lpwstr>
  </property>
  <property fmtid="{D5CDD505-2E9C-101B-9397-08002B2CF9AE}" pid="4" name="Client">
    <vt:lpwstr>MMRA Melbourne Metro Rail Authority</vt:lpwstr>
  </property>
  <property fmtid="{D5CDD505-2E9C-101B-9397-08002B2CF9AE}" pid="5" name="BST Task">
    <vt:lpwstr>Show Details</vt:lpwstr>
  </property>
  <property fmtid="{D5CDD505-2E9C-101B-9397-08002B2CF9AE}" pid="6" name="Originator">
    <vt:lpwstr>AJM Aurecon Jacobs Motts JV</vt:lpwstr>
  </property>
  <property fmtid="{D5CDD505-2E9C-101B-9397-08002B2CF9AE}" pid="7" name="Document type">
    <vt:lpwstr>RP Technical Report</vt:lpwstr>
  </property>
  <property fmtid="{D5CDD505-2E9C-101B-9397-08002B2CF9AE}" pid="8" name="Zone">
    <vt:lpwstr>PW Project Wide</vt:lpwstr>
  </property>
  <property fmtid="{D5CDD505-2E9C-101B-9397-08002B2CF9AE}" pid="9" name="BST Phase">
    <vt:lpwstr>Show Details</vt:lpwstr>
  </property>
</Properties>
</file>